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183655" w14:textId="111CBF6E" w:rsidR="00820BC5" w:rsidRDefault="00820BC5" w:rsidP="00820BC5">
      <w:pPr>
        <w:pStyle w:val="CRCoverPage"/>
        <w:tabs>
          <w:tab w:val="right" w:pos="9639"/>
        </w:tabs>
        <w:spacing w:after="0"/>
        <w:rPr>
          <w:rFonts w:cs="Arial"/>
          <w:b/>
          <w:sz w:val="24"/>
          <w:szCs w:val="24"/>
        </w:rPr>
      </w:pPr>
      <w:bookmarkStart w:id="0" w:name="_Hlk491845607"/>
      <w:r>
        <w:rPr>
          <w:rFonts w:cs="Arial"/>
          <w:b/>
          <w:sz w:val="24"/>
          <w:szCs w:val="24"/>
        </w:rPr>
        <w:t>3GPP TSG-RAN WG4 Meeting #</w:t>
      </w:r>
      <w:r w:rsidR="00F1354A">
        <w:rPr>
          <w:rFonts w:cs="Arial"/>
          <w:b/>
          <w:sz w:val="24"/>
          <w:szCs w:val="24"/>
        </w:rPr>
        <w:t>xx</w:t>
      </w:r>
      <w:r>
        <w:rPr>
          <w:rFonts w:cs="Arial"/>
          <w:b/>
          <w:sz w:val="24"/>
          <w:szCs w:val="24"/>
        </w:rPr>
        <w:tab/>
      </w:r>
      <w:r w:rsidR="008B3B40" w:rsidRPr="008B3B40">
        <w:rPr>
          <w:rFonts w:cs="Arial"/>
          <w:b/>
          <w:sz w:val="24"/>
          <w:szCs w:val="24"/>
        </w:rPr>
        <w:t>R4-2008010</w:t>
      </w:r>
    </w:p>
    <w:p w14:paraId="35E92EE0" w14:textId="5B097B33" w:rsidR="00820BC5" w:rsidRPr="0087636F" w:rsidRDefault="004E79E6" w:rsidP="00820BC5">
      <w:pPr>
        <w:pStyle w:val="CRCoverPage"/>
        <w:tabs>
          <w:tab w:val="right" w:pos="9639"/>
        </w:tabs>
        <w:spacing w:after="0"/>
        <w:rPr>
          <w:rFonts w:cs="Arial"/>
          <w:b/>
          <w:sz w:val="24"/>
          <w:szCs w:val="24"/>
        </w:rPr>
      </w:pPr>
      <w:r>
        <w:rPr>
          <w:rFonts w:cs="Arial"/>
          <w:b/>
          <w:sz w:val="24"/>
          <w:szCs w:val="24"/>
        </w:rPr>
        <w:t>e-meeting</w:t>
      </w:r>
      <w:r w:rsidR="00F1354A">
        <w:rPr>
          <w:rFonts w:cs="Arial"/>
          <w:b/>
          <w:sz w:val="24"/>
          <w:szCs w:val="24"/>
        </w:rPr>
        <w:t xml:space="preserve"> </w:t>
      </w:r>
      <w:r>
        <w:rPr>
          <w:rFonts w:cs="Arial"/>
          <w:b/>
          <w:sz w:val="24"/>
          <w:szCs w:val="24"/>
        </w:rPr>
        <w:t>25</w:t>
      </w:r>
      <w:r w:rsidR="00820BC5" w:rsidRPr="006D0B81">
        <w:rPr>
          <w:rFonts w:cs="Arial"/>
          <w:b/>
          <w:sz w:val="24"/>
          <w:szCs w:val="24"/>
          <w:vertAlign w:val="superscript"/>
        </w:rPr>
        <w:t>th</w:t>
      </w:r>
      <w:r w:rsidR="00820BC5">
        <w:rPr>
          <w:rFonts w:cs="Arial"/>
          <w:b/>
          <w:sz w:val="24"/>
          <w:szCs w:val="24"/>
        </w:rPr>
        <w:t xml:space="preserve"> </w:t>
      </w:r>
      <w:r>
        <w:rPr>
          <w:rFonts w:cs="Arial"/>
          <w:b/>
          <w:sz w:val="24"/>
          <w:szCs w:val="24"/>
        </w:rPr>
        <w:t xml:space="preserve">May </w:t>
      </w:r>
      <w:r w:rsidR="00820BC5" w:rsidRPr="00690ADD">
        <w:rPr>
          <w:rFonts w:cs="Arial"/>
          <w:b/>
          <w:sz w:val="24"/>
          <w:szCs w:val="24"/>
        </w:rPr>
        <w:t xml:space="preserve">– </w:t>
      </w:r>
      <w:r>
        <w:rPr>
          <w:rFonts w:cs="Arial"/>
          <w:b/>
          <w:sz w:val="24"/>
          <w:szCs w:val="24"/>
        </w:rPr>
        <w:t>5</w:t>
      </w:r>
      <w:r w:rsidR="00F1354A">
        <w:rPr>
          <w:rFonts w:cs="Arial"/>
          <w:b/>
          <w:sz w:val="24"/>
          <w:szCs w:val="24"/>
          <w:vertAlign w:val="superscript"/>
        </w:rPr>
        <w:t>th</w:t>
      </w:r>
      <w:r w:rsidR="00820BC5">
        <w:rPr>
          <w:rFonts w:cs="Arial"/>
          <w:b/>
          <w:sz w:val="24"/>
          <w:szCs w:val="24"/>
        </w:rPr>
        <w:t xml:space="preserve"> </w:t>
      </w:r>
      <w:r>
        <w:rPr>
          <w:rFonts w:cs="Arial"/>
          <w:b/>
          <w:sz w:val="24"/>
          <w:szCs w:val="24"/>
        </w:rPr>
        <w:t>June</w:t>
      </w:r>
      <w:r w:rsidR="00820BC5" w:rsidRPr="00690ADD">
        <w:rPr>
          <w:rFonts w:cs="Arial"/>
          <w:b/>
          <w:sz w:val="24"/>
          <w:szCs w:val="24"/>
        </w:rPr>
        <w:t xml:space="preserve"> 20</w:t>
      </w:r>
      <w:bookmarkEnd w:id="0"/>
      <w:r>
        <w:rPr>
          <w:rFonts w:cs="Arial"/>
          <w:b/>
          <w:sz w:val="24"/>
          <w:szCs w:val="24"/>
        </w:rPr>
        <w:t>20</w:t>
      </w:r>
    </w:p>
    <w:p w14:paraId="4DB8129A" w14:textId="77777777" w:rsidR="0043450E" w:rsidRPr="00426A90" w:rsidRDefault="0043450E" w:rsidP="0043450E">
      <w:pPr>
        <w:overflowPunct/>
        <w:autoSpaceDE/>
        <w:autoSpaceDN/>
        <w:adjustRightInd/>
        <w:textAlignment w:val="auto"/>
        <w:rPr>
          <w:rFonts w:ascii="Arial" w:hAnsi="Arial"/>
          <w:b/>
          <w:noProof/>
          <w:sz w:val="24"/>
        </w:rPr>
      </w:pPr>
    </w:p>
    <w:p w14:paraId="29AE85DF" w14:textId="77777777"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27529361" w14:textId="368E4DC6"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bookmarkStart w:id="1" w:name="_Hlk24032798"/>
      <w:r w:rsidR="00654CEE">
        <w:rPr>
          <w:sz w:val="22"/>
        </w:rPr>
        <w:t xml:space="preserve">ACLR measurement center </w:t>
      </w:r>
      <w:r w:rsidR="008B3B40">
        <w:rPr>
          <w:sz w:val="22"/>
        </w:rPr>
        <w:t xml:space="preserve">frequency for </w:t>
      </w:r>
      <w:r w:rsidR="00654CEE">
        <w:rPr>
          <w:sz w:val="22"/>
        </w:rPr>
        <w:t>NR FR1 contiguous CA</w:t>
      </w:r>
    </w:p>
    <w:bookmarkEnd w:id="1"/>
    <w:p w14:paraId="25ECC223" w14:textId="34C8A83B"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7A1FE2" w:rsidRPr="007A1FE2">
        <w:rPr>
          <w:bCs/>
          <w:sz w:val="22"/>
        </w:rPr>
        <w:t>6.13.1.3</w:t>
      </w:r>
    </w:p>
    <w:p w14:paraId="06E080A6" w14:textId="0236F2F2" w:rsidR="0043450E" w:rsidRPr="00F26B60" w:rsidRDefault="0043450E" w:rsidP="0043450E">
      <w:pPr>
        <w:tabs>
          <w:tab w:val="left" w:pos="1985"/>
        </w:tabs>
        <w:jc w:val="both"/>
        <w:rPr>
          <w:caps/>
          <w:sz w:val="22"/>
        </w:rPr>
      </w:pPr>
      <w:r w:rsidRPr="00B16EEF">
        <w:rPr>
          <w:b/>
          <w:sz w:val="22"/>
        </w:rPr>
        <w:t>Document for:</w:t>
      </w:r>
      <w:r w:rsidRPr="00B16EEF">
        <w:rPr>
          <w:sz w:val="22"/>
        </w:rPr>
        <w:tab/>
      </w:r>
      <w:r w:rsidR="00364168">
        <w:rPr>
          <w:sz w:val="22"/>
        </w:rPr>
        <w:t>Approval</w:t>
      </w:r>
    </w:p>
    <w:p w14:paraId="6DB4222A" w14:textId="77777777" w:rsidR="0043450E" w:rsidRDefault="0043450E" w:rsidP="0043450E">
      <w:pPr>
        <w:pStyle w:val="Heading1"/>
      </w:pPr>
      <w:r>
        <w:t>1</w:t>
      </w:r>
      <w:r>
        <w:tab/>
        <w:t>Introduction</w:t>
      </w:r>
    </w:p>
    <w:p w14:paraId="328F9880" w14:textId="565E0A0B" w:rsidR="00DF2E6B" w:rsidRDefault="00027982" w:rsidP="000B5E8E">
      <w:r>
        <w:t>In</w:t>
      </w:r>
      <w:r w:rsidR="001647CF">
        <w:t xml:space="preserve"> approved WF</w:t>
      </w:r>
      <w:r>
        <w:t xml:space="preserve"> [1], the ACLR measurement bandwidth </w:t>
      </w:r>
      <w:r w:rsidR="00A16D62">
        <w:t xml:space="preserve">(MBW) </w:t>
      </w:r>
      <w:r>
        <w:t xml:space="preserve">was </w:t>
      </w:r>
      <w:r w:rsidR="001647CF">
        <w:t>defined</w:t>
      </w:r>
      <w:r>
        <w:t xml:space="preserve"> for </w:t>
      </w:r>
      <w:r w:rsidRPr="00027982">
        <w:t>NR FR1 contiguous CA</w:t>
      </w:r>
      <w:r>
        <w:t xml:space="preserve">. </w:t>
      </w:r>
      <w:r w:rsidR="00A16D62">
        <w:t>However, the measurement center frequencies (</w:t>
      </w:r>
      <w:r w:rsidR="00D01B53">
        <w:t xml:space="preserve">of </w:t>
      </w:r>
      <w:r w:rsidR="00A16D62">
        <w:t>transmitted aggregated channel</w:t>
      </w:r>
      <w:r w:rsidR="00D01B53">
        <w:t xml:space="preserve"> and</w:t>
      </w:r>
      <w:r w:rsidR="00A16D62">
        <w:t xml:space="preserve"> </w:t>
      </w:r>
      <w:r w:rsidR="00AE5F41">
        <w:t>adjacent</w:t>
      </w:r>
      <w:r w:rsidR="00A16D62">
        <w:t xml:space="preserve"> aggregated channels on both sides) were left to be agreed later. In this contribution, we show that the</w:t>
      </w:r>
      <w:r w:rsidR="00B70CAE">
        <w:t xml:space="preserve"> agreed MBW must be place</w:t>
      </w:r>
      <w:r w:rsidR="00166901">
        <w:t>d</w:t>
      </w:r>
      <w:r w:rsidR="00B70CAE">
        <w:t xml:space="preserve"> asymmetrically in the aggregated channel</w:t>
      </w:r>
      <w:r w:rsidR="00AC69AF">
        <w:t>s</w:t>
      </w:r>
      <w:r w:rsidR="002051BB">
        <w:t>.</w:t>
      </w:r>
      <w:r w:rsidR="00AC69AF">
        <w:t xml:space="preserve"> We propose formulas for the</w:t>
      </w:r>
      <w:r w:rsidR="004100A8">
        <w:t xml:space="preserve"> measurement</w:t>
      </w:r>
      <w:r w:rsidR="00AC69AF">
        <w:t xml:space="preserve"> center frequency </w:t>
      </w:r>
      <w:r w:rsidR="000420D5">
        <w:t xml:space="preserve">in </w:t>
      </w:r>
      <w:r w:rsidR="00AC69AF">
        <w:t>the transmitted and adjacent aggregated channels.</w:t>
      </w:r>
    </w:p>
    <w:p w14:paraId="49DA2810" w14:textId="35EA423B" w:rsidR="000A6A9A" w:rsidRDefault="000A6A9A" w:rsidP="000A6A9A">
      <w:pPr>
        <w:pStyle w:val="Heading1"/>
      </w:pPr>
      <w:r>
        <w:t>2</w:t>
      </w:r>
      <w:r>
        <w:tab/>
        <w:t>Discussion</w:t>
      </w:r>
    </w:p>
    <w:p w14:paraId="40759F71" w14:textId="49A3AB2A" w:rsidR="005D3072" w:rsidRDefault="005D3072" w:rsidP="005D3072">
      <w:r>
        <w:t>A straightforward and safe way to define the CA ACLR MBW is to compose it as the union of the CC-wise single-channel ACLR MBWs (</w:t>
      </w:r>
      <w:r w:rsidR="00287910">
        <w:t>which were</w:t>
      </w:r>
      <w:r>
        <w:t xml:space="preserve"> specified in TS 38.101-1, </w:t>
      </w:r>
      <w:r w:rsidRPr="005D3072">
        <w:t>Table 6.5.2.4.1-1</w:t>
      </w:r>
      <w:r>
        <w:t>) including the gaps between</w:t>
      </w:r>
      <w:r w:rsidR="006A53B6">
        <w:t>, as depicted in Fig. 1.</w:t>
      </w:r>
      <w:r>
        <w:t xml:space="preserve"> </w:t>
      </w:r>
      <w:r w:rsidR="00065CA9">
        <w:t xml:space="preserve">This ensures that the MBW will cover all RBs of all </w:t>
      </w:r>
      <w:r w:rsidR="00910C02">
        <w:t xml:space="preserve">CCs at all </w:t>
      </w:r>
      <w:r w:rsidR="00065CA9">
        <w:t>SCSs.</w:t>
      </w:r>
    </w:p>
    <w:p w14:paraId="16BC6BDC" w14:textId="50D4D2C2" w:rsidR="006A53B6" w:rsidRDefault="009A0AB9" w:rsidP="006319F0">
      <w:pPr>
        <w:jc w:val="center"/>
      </w:pPr>
      <w:r>
        <w:rPr>
          <w:noProof/>
        </w:rPr>
        <w:drawing>
          <wp:inline distT="0" distB="0" distL="0" distR="0" wp14:anchorId="6882E480" wp14:editId="1F3E45D4">
            <wp:extent cx="5256000" cy="2019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6000" cy="2019600"/>
                    </a:xfrm>
                    <a:prstGeom prst="rect">
                      <a:avLst/>
                    </a:prstGeom>
                    <a:noFill/>
                  </pic:spPr>
                </pic:pic>
              </a:graphicData>
            </a:graphic>
          </wp:inline>
        </w:drawing>
      </w:r>
    </w:p>
    <w:p w14:paraId="55829DF4" w14:textId="77777777" w:rsidR="006A53B6" w:rsidRPr="00FC3BAE" w:rsidRDefault="006A53B6" w:rsidP="006A53B6">
      <w:pPr>
        <w:jc w:val="center"/>
        <w:rPr>
          <w:b/>
          <w:bCs/>
        </w:rPr>
      </w:pPr>
      <w:r w:rsidRPr="00FC3BAE">
        <w:rPr>
          <w:b/>
          <w:bCs/>
          <w:noProof/>
        </w:rPr>
        <w:t xml:space="preserve">Figure </w:t>
      </w:r>
      <w:r>
        <w:rPr>
          <w:b/>
          <w:bCs/>
          <w:noProof/>
        </w:rPr>
        <w:t>1.</w:t>
      </w:r>
      <w:r w:rsidRPr="00FC3BAE">
        <w:rPr>
          <w:b/>
          <w:bCs/>
          <w:noProof/>
        </w:rPr>
        <w:t xml:space="preserve"> </w:t>
      </w:r>
      <w:r>
        <w:rPr>
          <w:b/>
          <w:bCs/>
          <w:noProof/>
        </w:rPr>
        <w:t>Deriving</w:t>
      </w:r>
      <w:r w:rsidRPr="00FC3BAE">
        <w:rPr>
          <w:b/>
          <w:bCs/>
          <w:noProof/>
        </w:rPr>
        <w:t xml:space="preserve"> the CA ACLR MBW from single-channel ACLR MBWs</w:t>
      </w:r>
    </w:p>
    <w:p w14:paraId="58270322" w14:textId="71F0F26F" w:rsidR="00A16D62" w:rsidRDefault="00DF541E" w:rsidP="00A16D62">
      <w:r>
        <w:t>According to this approach</w:t>
      </w:r>
      <w:r w:rsidR="009C1C6D">
        <w:t xml:space="preserve">, the CA ACLR MBW edges </w:t>
      </w:r>
      <w:r w:rsidR="00DA50A8">
        <w:t>w</w:t>
      </w:r>
      <w:r w:rsidR="009C1C6D">
        <w:t>ould be</w:t>
      </w:r>
    </w:p>
    <w:p w14:paraId="1303CBED" w14:textId="30DC7E22" w:rsidR="009C1C6D" w:rsidRPr="009C1C6D" w:rsidRDefault="00397CE7" w:rsidP="009C1C6D">
      <m:oMathPara>
        <m:oMath>
          <m:sSub>
            <m:sSubPr>
              <m:ctrlPr>
                <w:rPr>
                  <w:rFonts w:ascii="Cambria Math" w:hAnsi="Cambria Math"/>
                  <w:i/>
                </w:rPr>
              </m:ctrlPr>
            </m:sSubPr>
            <m:e>
              <m:r>
                <w:rPr>
                  <w:rFonts w:ascii="Cambria Math" w:hAnsi="Cambria Math"/>
                </w:rPr>
                <m:t>F</m:t>
              </m:r>
            </m:e>
            <m:sub>
              <m:r>
                <w:rPr>
                  <w:rFonts w:ascii="Cambria Math" w:hAnsi="Cambria Math"/>
                </w:rPr>
                <m:t>edge,ACLR,low</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C,low</m:t>
              </m:r>
            </m:sub>
          </m:sSub>
          <m:r>
            <w:rPr>
              <w:rFonts w:ascii="Cambria Math" w:hAnsi="Cambria Math"/>
            </w:rPr>
            <m:t>-</m:t>
          </m:r>
          <m:sSub>
            <m:sSubPr>
              <m:ctrlPr>
                <w:rPr>
                  <w:rFonts w:ascii="Cambria Math" w:hAnsi="Cambria Math"/>
                  <w:i/>
                </w:rPr>
              </m:ctrlPr>
            </m:sSubPr>
            <m:e>
              <m:r>
                <w:rPr>
                  <w:rFonts w:ascii="Cambria Math" w:hAnsi="Cambria Math"/>
                </w:rPr>
                <m:t>MBW</m:t>
              </m:r>
            </m:e>
            <m:sub>
              <m:r>
                <w:rPr>
                  <w:rFonts w:ascii="Cambria Math" w:hAnsi="Cambria Math"/>
                </w:rPr>
                <m:t>ACLR,low</m:t>
              </m:r>
            </m:sub>
          </m:sSub>
          <m:r>
            <w:rPr>
              <w:rFonts w:ascii="Cambria Math" w:hAnsi="Cambria Math"/>
            </w:rPr>
            <m:t>/2</m:t>
          </m:r>
        </m:oMath>
      </m:oMathPara>
    </w:p>
    <w:p w14:paraId="3F62419B" w14:textId="5E266C04" w:rsidR="009C1C6D" w:rsidRPr="008E44F4" w:rsidRDefault="00397CE7" w:rsidP="009C1C6D">
      <m:oMathPara>
        <m:oMath>
          <m:sSub>
            <m:sSubPr>
              <m:ctrlPr>
                <w:rPr>
                  <w:rFonts w:ascii="Cambria Math" w:hAnsi="Cambria Math"/>
                  <w:i/>
                </w:rPr>
              </m:ctrlPr>
            </m:sSubPr>
            <m:e>
              <m:r>
                <w:rPr>
                  <w:rFonts w:ascii="Cambria Math" w:hAnsi="Cambria Math"/>
                </w:rPr>
                <m:t>F</m:t>
              </m:r>
            </m:e>
            <m:sub>
              <m:r>
                <w:rPr>
                  <w:rFonts w:ascii="Cambria Math" w:hAnsi="Cambria Math"/>
                </w:rPr>
                <m:t>edge,ACLR,high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C,high</m:t>
              </m:r>
            </m:sub>
          </m:sSub>
          <m:r>
            <w:rPr>
              <w:rFonts w:ascii="Cambria Math" w:hAnsi="Cambria Math"/>
            </w:rPr>
            <m:t>+</m:t>
          </m:r>
          <m:sSub>
            <m:sSubPr>
              <m:ctrlPr>
                <w:rPr>
                  <w:rFonts w:ascii="Cambria Math" w:hAnsi="Cambria Math"/>
                  <w:i/>
                </w:rPr>
              </m:ctrlPr>
            </m:sSubPr>
            <m:e>
              <m:r>
                <w:rPr>
                  <w:rFonts w:ascii="Cambria Math" w:hAnsi="Cambria Math"/>
                </w:rPr>
                <m:t>MBW</m:t>
              </m:r>
            </m:e>
            <m:sub>
              <m:r>
                <w:rPr>
                  <w:rFonts w:ascii="Cambria Math" w:hAnsi="Cambria Math"/>
                </w:rPr>
                <m:t>ACLR,high</m:t>
              </m:r>
            </m:sub>
          </m:sSub>
          <m:r>
            <w:rPr>
              <w:rFonts w:ascii="Cambria Math" w:hAnsi="Cambria Math"/>
            </w:rPr>
            <m:t>/2,</m:t>
          </m:r>
        </m:oMath>
      </m:oMathPara>
    </w:p>
    <w:p w14:paraId="030ACDB8" w14:textId="6FF2BD98" w:rsidR="008E44F4" w:rsidRPr="0014241A" w:rsidRDefault="008E44F4" w:rsidP="009C1C6D">
      <w:r>
        <w:t xml:space="preserve">where </w:t>
      </w:r>
      <m:oMath>
        <m:sSub>
          <m:sSubPr>
            <m:ctrlPr>
              <w:rPr>
                <w:rFonts w:ascii="Cambria Math" w:hAnsi="Cambria Math"/>
                <w:i/>
              </w:rPr>
            </m:ctrlPr>
          </m:sSubPr>
          <m:e>
            <m:r>
              <w:rPr>
                <w:rFonts w:ascii="Cambria Math" w:hAnsi="Cambria Math"/>
              </w:rPr>
              <m:t>F</m:t>
            </m:r>
          </m:e>
          <m:sub>
            <m:r>
              <w:rPr>
                <w:rFonts w:ascii="Cambria Math" w:hAnsi="Cambria Math"/>
              </w:rPr>
              <m:t>C,low</m:t>
            </m:r>
          </m:sub>
        </m:sSub>
      </m:oMath>
      <w:r>
        <w:t xml:space="preserve"> and </w:t>
      </w:r>
      <m:oMath>
        <m:sSub>
          <m:sSubPr>
            <m:ctrlPr>
              <w:rPr>
                <w:rFonts w:ascii="Cambria Math" w:hAnsi="Cambria Math"/>
                <w:i/>
              </w:rPr>
            </m:ctrlPr>
          </m:sSubPr>
          <m:e>
            <m:r>
              <w:rPr>
                <w:rFonts w:ascii="Cambria Math" w:hAnsi="Cambria Math"/>
              </w:rPr>
              <m:t>F</m:t>
            </m:r>
          </m:e>
          <m:sub>
            <m:r>
              <w:rPr>
                <w:rFonts w:ascii="Cambria Math" w:hAnsi="Cambria Math"/>
              </w:rPr>
              <m:t>C,high</m:t>
            </m:r>
          </m:sub>
        </m:sSub>
      </m:oMath>
      <w:r>
        <w:t xml:space="preserve"> are the lowest and highest CC center frequency, respectively, and </w:t>
      </w:r>
      <m:oMath>
        <m:sSub>
          <m:sSubPr>
            <m:ctrlPr>
              <w:rPr>
                <w:rFonts w:ascii="Cambria Math" w:hAnsi="Cambria Math"/>
                <w:i/>
              </w:rPr>
            </m:ctrlPr>
          </m:sSubPr>
          <m:e>
            <m:r>
              <w:rPr>
                <w:rFonts w:ascii="Cambria Math" w:hAnsi="Cambria Math"/>
              </w:rPr>
              <m:t>MBW</m:t>
            </m:r>
          </m:e>
          <m:sub>
            <m:r>
              <w:rPr>
                <w:rFonts w:ascii="Cambria Math" w:hAnsi="Cambria Math"/>
              </w:rPr>
              <m:t>ACLR,low</m:t>
            </m:r>
          </m:sub>
        </m:sSub>
      </m:oMath>
      <w:r>
        <w:t xml:space="preserve"> and </w:t>
      </w:r>
      <m:oMath>
        <m:sSub>
          <m:sSubPr>
            <m:ctrlPr>
              <w:rPr>
                <w:rFonts w:ascii="Cambria Math" w:hAnsi="Cambria Math"/>
                <w:i/>
              </w:rPr>
            </m:ctrlPr>
          </m:sSubPr>
          <m:e>
            <m:r>
              <w:rPr>
                <w:rFonts w:ascii="Cambria Math" w:hAnsi="Cambria Math"/>
              </w:rPr>
              <m:t>MBW</m:t>
            </m:r>
          </m:e>
          <m:sub>
            <m:r>
              <w:rPr>
                <w:rFonts w:ascii="Cambria Math" w:hAnsi="Cambria Math"/>
              </w:rPr>
              <m:t>ACLR,high</m:t>
            </m:r>
          </m:sub>
        </m:sSub>
      </m:oMath>
      <w:r>
        <w:t xml:space="preserve"> are the single-channel ACLR MBWs for the bandwidths of the lowest and highest CC, respectively.</w:t>
      </w:r>
    </w:p>
    <w:p w14:paraId="148F16D4" w14:textId="00539FC3" w:rsidR="0014241A" w:rsidRDefault="0014241A" w:rsidP="009C1C6D">
      <w:r>
        <w:t>This results in the CA ACLR MBW</w:t>
      </w:r>
      <w:bookmarkStart w:id="2" w:name="_GoBack"/>
      <w:bookmarkEnd w:id="2"/>
      <w:r>
        <w:t xml:space="preserve"> agreed in [1]:</w:t>
      </w:r>
    </w:p>
    <w:p w14:paraId="0E6F18AF" w14:textId="559ABCA0" w:rsidR="0014241A" w:rsidRPr="007C4112" w:rsidRDefault="00397CE7" w:rsidP="0014241A">
      <m:oMathPara>
        <m:oMath>
          <m:sSub>
            <m:sSubPr>
              <m:ctrlPr>
                <w:rPr>
                  <w:rFonts w:ascii="Cambria Math" w:hAnsi="Cambria Math"/>
                  <w:i/>
                </w:rPr>
              </m:ctrlPr>
            </m:sSubPr>
            <m:e>
              <m:r>
                <w:rPr>
                  <w:rFonts w:ascii="Cambria Math" w:hAnsi="Cambria Math"/>
                </w:rPr>
                <m:t>MBW</m:t>
              </m:r>
            </m:e>
            <m:sub>
              <m:r>
                <w:rPr>
                  <w:rFonts w:ascii="Cambria Math" w:hAnsi="Cambria Math"/>
                </w:rPr>
                <m:t>ACLR,CA</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edge,ACLR,high</m:t>
              </m:r>
            </m:sub>
          </m:sSub>
          <m:sSub>
            <m:sSubPr>
              <m:ctrlPr>
                <w:rPr>
                  <w:rFonts w:ascii="Cambria Math" w:hAnsi="Cambria Math"/>
                  <w:i/>
                </w:rPr>
              </m:ctrlPr>
            </m:sSubPr>
            <m:e>
              <m:r>
                <w:rPr>
                  <w:rFonts w:ascii="Cambria Math" w:hAnsi="Cambria Math"/>
                </w:rPr>
                <m:t>-F</m:t>
              </m:r>
            </m:e>
            <m:sub>
              <m:r>
                <w:rPr>
                  <w:rFonts w:ascii="Cambria Math" w:hAnsi="Cambria Math"/>
                </w:rPr>
                <m:t>edge,ACLR,low</m:t>
              </m:r>
            </m:sub>
          </m:sSub>
        </m:oMath>
      </m:oMathPara>
    </w:p>
    <w:p w14:paraId="57129CE2" w14:textId="784ED570" w:rsidR="0014241A" w:rsidRPr="00885C08" w:rsidRDefault="0014241A" w:rsidP="0014241A">
      <m:oMathPara>
        <m:oMath>
          <m:r>
            <w:rPr>
              <w:rFonts w:ascii="Cambria Math" w:hAnsi="Cambria Math"/>
              <w:i/>
            </w:rPr>
            <w:sym w:font="Symbol" w:char="F0DE"/>
          </m:r>
          <m:r>
            <w:rPr>
              <w:rFonts w:ascii="Cambria Math" w:hAnsi="Cambria Math"/>
            </w:rPr>
            <m:t xml:space="preserve">  </m:t>
          </m:r>
          <m:sSub>
            <m:sSubPr>
              <m:ctrlPr>
                <w:rPr>
                  <w:rFonts w:ascii="Cambria Math" w:hAnsi="Cambria Math"/>
                  <w:i/>
                </w:rPr>
              </m:ctrlPr>
            </m:sSubPr>
            <m:e>
              <m:r>
                <w:rPr>
                  <w:rFonts w:ascii="Cambria Math" w:hAnsi="Cambria Math"/>
                </w:rPr>
                <m:t>MBW</m:t>
              </m:r>
            </m:e>
            <m:sub>
              <m:r>
                <w:rPr>
                  <w:rFonts w:ascii="Cambria Math" w:hAnsi="Cambria Math"/>
                </w:rPr>
                <m:t>ACLR,CA</m:t>
              </m:r>
            </m:sub>
          </m:sSub>
          <m:r>
            <w:rPr>
              <w:rFonts w:ascii="Cambria Math" w:hAnsi="Cambria Math"/>
            </w:rPr>
            <m:t>=</m:t>
          </m:r>
          <m:sSub>
            <m:sSubPr>
              <m:ctrlPr>
                <w:rPr>
                  <w:rFonts w:ascii="Cambria Math" w:hAnsi="Cambria Math"/>
                  <w:i/>
                </w:rPr>
              </m:ctrlPr>
            </m:sSubPr>
            <m:e>
              <m:r>
                <w:rPr>
                  <w:rFonts w:ascii="Cambria Math" w:hAnsi="Cambria Math"/>
                </w:rPr>
                <m:t>MBW</m:t>
              </m:r>
            </m:e>
            <m:sub>
              <m:r>
                <w:rPr>
                  <w:rFonts w:ascii="Cambria Math" w:hAnsi="Cambria Math"/>
                </w:rPr>
                <m:t>ACLR,low</m:t>
              </m:r>
            </m:sub>
          </m:sSub>
          <m:r>
            <w:rPr>
              <w:rFonts w:ascii="Cambria Math" w:hAnsi="Cambria Math"/>
            </w:rPr>
            <m:t>/2+</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C,high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C,low</m:t>
                  </m:r>
                </m:sub>
              </m:sSub>
            </m:e>
          </m:d>
          <m:r>
            <w:rPr>
              <w:rFonts w:ascii="Cambria Math" w:hAnsi="Cambria Math"/>
            </w:rPr>
            <m:t>+</m:t>
          </m:r>
          <m:sSub>
            <m:sSubPr>
              <m:ctrlPr>
                <w:rPr>
                  <w:rFonts w:ascii="Cambria Math" w:hAnsi="Cambria Math"/>
                  <w:i/>
                </w:rPr>
              </m:ctrlPr>
            </m:sSubPr>
            <m:e>
              <m:r>
                <w:rPr>
                  <w:rFonts w:ascii="Cambria Math" w:hAnsi="Cambria Math"/>
                </w:rPr>
                <m:t>MBW</m:t>
              </m:r>
            </m:e>
            <m:sub>
              <m:r>
                <w:rPr>
                  <w:rFonts w:ascii="Cambria Math" w:hAnsi="Cambria Math"/>
                </w:rPr>
                <m:t>ACLR,high</m:t>
              </m:r>
            </m:sub>
          </m:sSub>
          <m:r>
            <w:rPr>
              <w:rFonts w:ascii="Cambria Math" w:hAnsi="Cambria Math"/>
            </w:rPr>
            <m:t>/2</m:t>
          </m:r>
        </m:oMath>
      </m:oMathPara>
    </w:p>
    <w:p w14:paraId="035F270C" w14:textId="77777777" w:rsidR="00885C08" w:rsidRPr="002051BB" w:rsidRDefault="00885C08" w:rsidP="0014241A"/>
    <w:p w14:paraId="75580579" w14:textId="08C9BC96" w:rsidR="008B3B40" w:rsidRDefault="00B629D8" w:rsidP="00027982">
      <w:r>
        <w:t xml:space="preserve">The measurement works correctly if the measurement center frequency is defined as the midpoint of </w:t>
      </w:r>
      <w:r w:rsidR="00AD5FBB">
        <w:t xml:space="preserve">the </w:t>
      </w:r>
      <w:r>
        <w:t>edge frequencies defined above:</w:t>
      </w:r>
    </w:p>
    <w:p w14:paraId="15CB8086" w14:textId="50B689DA" w:rsidR="007C4112" w:rsidRPr="007C4112" w:rsidRDefault="00397CE7" w:rsidP="00027982">
      <m:oMathPara>
        <m:oMath>
          <m:sSub>
            <m:sSubPr>
              <m:ctrlPr>
                <w:rPr>
                  <w:rFonts w:ascii="Cambria Math" w:hAnsi="Cambria Math"/>
                  <w:i/>
                </w:rPr>
              </m:ctrlPr>
            </m:sSubPr>
            <m:e>
              <m:r>
                <w:rPr>
                  <w:rFonts w:ascii="Cambria Math" w:hAnsi="Cambria Math"/>
                </w:rPr>
                <m:t>F</m:t>
              </m:r>
            </m:e>
            <m:sub>
              <m:r>
                <w:rPr>
                  <w:rFonts w:ascii="Cambria Math" w:hAnsi="Cambria Math"/>
                </w:rPr>
                <m:t>C,ACLR,channel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edge,ACLR,low</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edge,ACLR,high</m:t>
                  </m:r>
                </m:sub>
              </m:sSub>
            </m:num>
            <m:den>
              <m:r>
                <w:rPr>
                  <w:rFonts w:ascii="Cambria Math" w:hAnsi="Cambria Math"/>
                </w:rPr>
                <m:t>2</m:t>
              </m:r>
            </m:den>
          </m:f>
        </m:oMath>
      </m:oMathPara>
    </w:p>
    <w:p w14:paraId="157DD571" w14:textId="221F64B3" w:rsidR="003C0D66" w:rsidRPr="00EF0A23" w:rsidRDefault="007C4112" w:rsidP="00027982">
      <m:oMathPara>
        <m:oMath>
          <m:r>
            <w:rPr>
              <w:rFonts w:ascii="Cambria Math" w:hAnsi="Cambria Math"/>
              <w:i/>
            </w:rPr>
            <w:sym w:font="Symbol" w:char="F0DE"/>
          </m:r>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C,ACLR,channel</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C,low</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C,high</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MBW</m:t>
                  </m:r>
                </m:e>
                <m:sub>
                  <m:r>
                    <w:rPr>
                      <w:rFonts w:ascii="Cambria Math" w:hAnsi="Cambria Math"/>
                    </w:rPr>
                    <m:t>ACLR,high</m:t>
                  </m:r>
                </m:sub>
              </m:sSub>
              <m:r>
                <w:rPr>
                  <w:rFonts w:ascii="Cambria Math" w:hAnsi="Cambria Math"/>
                </w:rPr>
                <m:t>-</m:t>
              </m:r>
              <m:sSub>
                <m:sSubPr>
                  <m:ctrlPr>
                    <w:rPr>
                      <w:rFonts w:ascii="Cambria Math" w:hAnsi="Cambria Math"/>
                      <w:i/>
                    </w:rPr>
                  </m:ctrlPr>
                </m:sSubPr>
                <m:e>
                  <m:r>
                    <w:rPr>
                      <w:rFonts w:ascii="Cambria Math" w:hAnsi="Cambria Math"/>
                    </w:rPr>
                    <m:t>MBW</m:t>
                  </m:r>
                </m:e>
                <m:sub>
                  <m:r>
                    <w:rPr>
                      <w:rFonts w:ascii="Cambria Math" w:hAnsi="Cambria Math"/>
                    </w:rPr>
                    <m:t>ACLR,low</m:t>
                  </m:r>
                </m:sub>
              </m:sSub>
            </m:num>
            <m:den>
              <m:r>
                <w:rPr>
                  <w:rFonts w:ascii="Cambria Math" w:hAnsi="Cambria Math"/>
                </w:rPr>
                <m:t>4</m:t>
              </m:r>
            </m:den>
          </m:f>
        </m:oMath>
      </m:oMathPara>
    </w:p>
    <w:p w14:paraId="2FCC25B0" w14:textId="77777777" w:rsidR="00EF0A23" w:rsidRDefault="00EF0A23" w:rsidP="00EF0A23">
      <w:pPr>
        <w:rPr>
          <w:b/>
          <w:bCs/>
        </w:rPr>
      </w:pPr>
      <w:r w:rsidRPr="00901038">
        <w:rPr>
          <w:b/>
          <w:bCs/>
        </w:rPr>
        <w:t xml:space="preserve">Observation 1: In most cases, the ACLR measurement center, i.e., the midpoint between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edge,ACLR,low</m:t>
            </m:r>
          </m:sub>
        </m:sSub>
      </m:oMath>
      <w:r w:rsidRPr="00901038">
        <w:rPr>
          <w:b/>
          <w:bCs/>
        </w:rPr>
        <w:t xml:space="preserve"> and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edge,ACLR,high</m:t>
            </m:r>
          </m:sub>
        </m:sSub>
      </m:oMath>
      <w:r w:rsidRPr="00901038">
        <w:rPr>
          <w:b/>
          <w:bCs/>
        </w:rPr>
        <w:t>, does not coin</w:t>
      </w:r>
      <w:r>
        <w:rPr>
          <w:b/>
          <w:bCs/>
        </w:rPr>
        <w:t>c</w:t>
      </w:r>
      <w:r w:rsidRPr="00901038">
        <w:rPr>
          <w:b/>
          <w:bCs/>
        </w:rPr>
        <w:t xml:space="preserve">ide with the center of the aggregated channel. </w:t>
      </w:r>
    </w:p>
    <w:p w14:paraId="2966E2D2" w14:textId="345FD5A8" w:rsidR="00EF0A23" w:rsidRDefault="00EF0A23" w:rsidP="00266F1F">
      <w:pPr>
        <w:keepLines/>
        <w:rPr>
          <w:b/>
          <w:bCs/>
        </w:rPr>
      </w:pPr>
      <w:r w:rsidRPr="00DC0F49">
        <w:rPr>
          <w:b/>
          <w:bCs/>
        </w:rPr>
        <w:t xml:space="preserve">Observation </w:t>
      </w:r>
      <w:r>
        <w:rPr>
          <w:b/>
          <w:bCs/>
        </w:rPr>
        <w:t>2</w:t>
      </w:r>
      <w:r w:rsidRPr="00DC0F49">
        <w:rPr>
          <w:b/>
          <w:bCs/>
        </w:rPr>
        <w:t xml:space="preserve">: If </w:t>
      </w:r>
      <w:r>
        <w:rPr>
          <w:b/>
          <w:bCs/>
        </w:rPr>
        <w:t xml:space="preserve">the ACLR measurement is centered at the center of the aggregated channel despite Observation 1, with the agreed MBW, then outermost RBs may be left outside the MBW depending on the SCS. This is particularly harmful when measuring the power of a narrow allocation </w:t>
      </w:r>
      <w:r w:rsidR="00976F32">
        <w:rPr>
          <w:b/>
          <w:bCs/>
        </w:rPr>
        <w:t xml:space="preserve">located </w:t>
      </w:r>
      <w:r>
        <w:rPr>
          <w:b/>
          <w:bCs/>
        </w:rPr>
        <w:t>at the edge of the aggregated channel.</w:t>
      </w:r>
    </w:p>
    <w:p w14:paraId="5B9460AD" w14:textId="77777777" w:rsidR="002F3EA0" w:rsidRPr="00266F1F" w:rsidRDefault="002F3EA0" w:rsidP="00266F1F">
      <w:pPr>
        <w:keepLines/>
        <w:rPr>
          <w:b/>
          <w:bCs/>
        </w:rPr>
      </w:pPr>
    </w:p>
    <w:p w14:paraId="611DB91D" w14:textId="2907550E" w:rsidR="0089260E" w:rsidRPr="002F4FFF" w:rsidRDefault="0089260E" w:rsidP="00027982">
      <w:pPr>
        <w:rPr>
          <w:b/>
          <w:bCs/>
        </w:rPr>
      </w:pPr>
      <w:r w:rsidRPr="002F4FFF">
        <w:rPr>
          <w:b/>
          <w:bCs/>
        </w:rPr>
        <w:t xml:space="preserve">Proposal </w:t>
      </w:r>
      <w:r w:rsidR="00593157">
        <w:rPr>
          <w:b/>
          <w:bCs/>
        </w:rPr>
        <w:t>1</w:t>
      </w:r>
      <w:r w:rsidRPr="002F4FFF">
        <w:rPr>
          <w:b/>
          <w:bCs/>
        </w:rPr>
        <w:t>: Specify the center frequency of CA ACLR measurement in the aggregated channel as</w:t>
      </w:r>
    </w:p>
    <w:p w14:paraId="66AA7CC2" w14:textId="6350309F" w:rsidR="0089260E" w:rsidRPr="002F4FFF" w:rsidRDefault="00397CE7" w:rsidP="007C4112">
      <w:pPr>
        <w:rPr>
          <w:b/>
          <w:bCs/>
        </w:rPr>
      </w:pPr>
      <m:oMathPara>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C,ACLR,channel</m:t>
              </m:r>
            </m:sub>
          </m:sSub>
          <m:r>
            <m:rPr>
              <m:sty m:val="bi"/>
            </m:rPr>
            <w:rPr>
              <w:rFonts w:ascii="Cambria Math" w:hAnsi="Cambria Math"/>
            </w:rPr>
            <m:t xml:space="preserve">= </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C,low</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C,high</m:t>
                  </m:r>
                </m:sub>
              </m:sSub>
            </m:num>
            <m:den>
              <m:r>
                <m:rPr>
                  <m:sty m:val="bi"/>
                </m:rPr>
                <w:rPr>
                  <w:rFonts w:ascii="Cambria Math" w:hAnsi="Cambria Math"/>
                </w:rPr>
                <m:t>2</m:t>
              </m:r>
            </m:den>
          </m:f>
          <m:r>
            <m:rPr>
              <m:sty m:val="bi"/>
            </m:rPr>
            <w:rPr>
              <w:rFonts w:ascii="Cambria Math" w:hAnsi="Cambria Math"/>
            </w:rPr>
            <m:t>+</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MBW</m:t>
                  </m:r>
                </m:e>
                <m:sub>
                  <m:r>
                    <m:rPr>
                      <m:sty m:val="bi"/>
                    </m:rPr>
                    <w:rPr>
                      <w:rFonts w:ascii="Cambria Math" w:hAnsi="Cambria Math"/>
                    </w:rPr>
                    <m:t>ACLR,high</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MBW</m:t>
                  </m:r>
                </m:e>
                <m:sub>
                  <m:r>
                    <m:rPr>
                      <m:sty m:val="bi"/>
                    </m:rPr>
                    <w:rPr>
                      <w:rFonts w:ascii="Cambria Math" w:hAnsi="Cambria Math"/>
                    </w:rPr>
                    <m:t>ACLR,low</m:t>
                  </m:r>
                </m:sub>
              </m:sSub>
            </m:num>
            <m:den>
              <m:r>
                <m:rPr>
                  <m:sty m:val="bi"/>
                </m:rPr>
                <w:rPr>
                  <w:rFonts w:ascii="Cambria Math" w:hAnsi="Cambria Math"/>
                </w:rPr>
                <m:t>4</m:t>
              </m:r>
            </m:den>
          </m:f>
          <m:r>
            <m:rPr>
              <m:sty m:val="bi"/>
            </m:rPr>
            <w:rPr>
              <w:rFonts w:ascii="Cambria Math" w:hAnsi="Cambria Math"/>
            </w:rPr>
            <m:t>.</m:t>
          </m:r>
        </m:oMath>
      </m:oMathPara>
    </w:p>
    <w:p w14:paraId="31313D79" w14:textId="73C1749B" w:rsidR="0089260E" w:rsidRPr="008A0143" w:rsidRDefault="002F4FFF" w:rsidP="007C4112">
      <w:pPr>
        <w:rPr>
          <w:b/>
          <w:bCs/>
        </w:rPr>
      </w:pPr>
      <w:r w:rsidRPr="008A0143">
        <w:rPr>
          <w:b/>
          <w:bCs/>
        </w:rPr>
        <w:t xml:space="preserve">Proposal 2: </w:t>
      </w:r>
      <w:r w:rsidR="00BD7C46">
        <w:rPr>
          <w:b/>
          <w:bCs/>
        </w:rPr>
        <w:t>S</w:t>
      </w:r>
      <w:r w:rsidR="00BD7C46" w:rsidRPr="008A0143">
        <w:rPr>
          <w:b/>
          <w:bCs/>
        </w:rPr>
        <w:t>pecif</w:t>
      </w:r>
      <w:r w:rsidR="00BD7C46">
        <w:rPr>
          <w:b/>
          <w:bCs/>
        </w:rPr>
        <w:t>y</w:t>
      </w:r>
      <w:r w:rsidR="00BD7C46" w:rsidRPr="008A0143">
        <w:rPr>
          <w:b/>
          <w:bCs/>
        </w:rPr>
        <w:t xml:space="preserve"> </w:t>
      </w:r>
      <w:r w:rsidR="00BD7C46">
        <w:rPr>
          <w:b/>
          <w:bCs/>
        </w:rPr>
        <w:t>t</w:t>
      </w:r>
      <w:r w:rsidRPr="008A0143">
        <w:rPr>
          <w:b/>
          <w:bCs/>
        </w:rPr>
        <w:t xml:space="preserve">he spacing between ACLR measurement center frequencies </w:t>
      </w:r>
      <w:r w:rsidR="00B97E68">
        <w:rPr>
          <w:b/>
          <w:bCs/>
        </w:rPr>
        <w:t>(</w:t>
      </w:r>
      <w:r w:rsidRPr="008A0143">
        <w:rPr>
          <w:b/>
          <w:bCs/>
        </w:rPr>
        <w:t>between the aggregated channel and adjacent aggregated channels on both sides</w:t>
      </w:r>
      <w:r w:rsidR="00B97E68">
        <w:rPr>
          <w:b/>
          <w:bCs/>
        </w:rPr>
        <w:t>)</w:t>
      </w:r>
      <w:r w:rsidRPr="008A0143">
        <w:rPr>
          <w:b/>
          <w:bCs/>
        </w:rPr>
        <w:t xml:space="preserve"> to </w:t>
      </w:r>
      <w:r w:rsidR="00D205AB">
        <w:rPr>
          <w:b/>
          <w:bCs/>
        </w:rPr>
        <w:t xml:space="preserve">be </w:t>
      </w:r>
      <m:oMath>
        <m:sSub>
          <m:sSubPr>
            <m:ctrlPr>
              <w:rPr>
                <w:rFonts w:ascii="Cambria Math" w:hAnsi="Cambria Math"/>
                <w:b/>
                <w:bCs/>
                <w:i/>
              </w:rPr>
            </m:ctrlPr>
          </m:sSubPr>
          <m:e>
            <m:r>
              <m:rPr>
                <m:sty m:val="bi"/>
              </m:rPr>
              <w:rPr>
                <w:rFonts w:ascii="Cambria Math" w:hAnsi="Cambria Math"/>
              </w:rPr>
              <m:t>BW</m:t>
            </m:r>
          </m:e>
          <m:sub>
            <m:r>
              <m:rPr>
                <m:sty m:val="bi"/>
              </m:rPr>
              <w:rPr>
                <w:rFonts w:ascii="Cambria Math" w:hAnsi="Cambria Math"/>
              </w:rPr>
              <m:t>Channel_CA</m:t>
            </m:r>
          </m:sub>
        </m:sSub>
      </m:oMath>
      <w:r w:rsidRPr="008A0143">
        <w:rPr>
          <w:b/>
          <w:bCs/>
        </w:rPr>
        <w:t>, the aggregated channel bandwidth</w:t>
      </w:r>
      <w:r w:rsidR="008A0143" w:rsidRPr="008A0143">
        <w:rPr>
          <w:b/>
          <w:bCs/>
        </w:rPr>
        <w:t>. Thus</w:t>
      </w:r>
      <w:r w:rsidR="00605325">
        <w:rPr>
          <w:b/>
          <w:bCs/>
        </w:rPr>
        <w:t>,</w:t>
      </w:r>
      <w:r w:rsidR="008A0143" w:rsidRPr="008A0143">
        <w:rPr>
          <w:b/>
          <w:bCs/>
        </w:rPr>
        <w:t xml:space="preserve"> the measurement center frequencies for the adjacent aggregated channels </w:t>
      </w:r>
      <w:r w:rsidR="004561DB">
        <w:rPr>
          <w:b/>
          <w:bCs/>
        </w:rPr>
        <w:t>become</w:t>
      </w:r>
    </w:p>
    <w:p w14:paraId="29B19B75" w14:textId="7BC203A4" w:rsidR="007C4112" w:rsidRPr="008A0143" w:rsidRDefault="00397CE7" w:rsidP="007C4112">
      <w:pPr>
        <w:rPr>
          <w:b/>
          <w:bCs/>
        </w:rPr>
      </w:pPr>
      <m:oMathPara>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C,ACLR,below</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C,ACLR,channel</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BW</m:t>
              </m:r>
            </m:e>
            <m:sub>
              <m:r>
                <m:rPr>
                  <m:sty m:val="bi"/>
                </m:rPr>
                <w:rPr>
                  <w:rFonts w:ascii="Cambria Math" w:hAnsi="Cambria Math"/>
                </w:rPr>
                <m:t>Channel_CA</m:t>
              </m:r>
            </m:sub>
          </m:sSub>
        </m:oMath>
      </m:oMathPara>
    </w:p>
    <w:p w14:paraId="5E025DE8" w14:textId="378C5E6F" w:rsidR="007C4112" w:rsidRPr="008A0143" w:rsidRDefault="00397CE7" w:rsidP="007C4112">
      <w:pPr>
        <w:rPr>
          <w:b/>
          <w:bCs/>
        </w:rPr>
      </w:pPr>
      <m:oMathPara>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C,ACLR,above</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C,ACLR,channel</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BW</m:t>
              </m:r>
            </m:e>
            <m:sub>
              <m:r>
                <m:rPr>
                  <m:sty m:val="bi"/>
                </m:rPr>
                <w:rPr>
                  <w:rFonts w:ascii="Cambria Math" w:hAnsi="Cambria Math"/>
                </w:rPr>
                <m:t>Channel_CA</m:t>
              </m:r>
            </m:sub>
          </m:sSub>
          <m:r>
            <m:rPr>
              <m:sty m:val="bi"/>
            </m:rPr>
            <w:rPr>
              <w:rFonts w:ascii="Cambria Math" w:hAnsi="Cambria Math"/>
            </w:rPr>
            <m:t>.</m:t>
          </m:r>
        </m:oMath>
      </m:oMathPara>
    </w:p>
    <w:p w14:paraId="05EF9872" w14:textId="59FECD46" w:rsidR="008A0143" w:rsidRPr="008A0143" w:rsidRDefault="008A0143" w:rsidP="007C4112">
      <w:pPr>
        <w:rPr>
          <w:b/>
          <w:bCs/>
        </w:rPr>
      </w:pPr>
      <w:r w:rsidRPr="008A0143">
        <w:rPr>
          <w:b/>
          <w:bCs/>
        </w:rPr>
        <w:t>below and above the aggregated channel, respectively.</w:t>
      </w:r>
    </w:p>
    <w:p w14:paraId="181E3993" w14:textId="1F07B41B" w:rsidR="001B3AEF" w:rsidRPr="00C8539D" w:rsidRDefault="000E671A" w:rsidP="00C8539D">
      <w:r>
        <w:t xml:space="preserve">Our calculations indicate that the displacement of CA ACLR center frequency from aggregated channel center frequency may range approx. from </w:t>
      </w:r>
      <w:r>
        <w:sym w:font="Symbol" w:char="F02D"/>
      </w:r>
      <w:r>
        <w:t>236 kHz to +296 kHz</w:t>
      </w:r>
      <w:r w:rsidR="007C4AE8">
        <w:t xml:space="preserve"> in the case of two CCs</w:t>
      </w:r>
      <w:r w:rsidR="0040353E">
        <w:t xml:space="preserve"> depending on the channel bandwidth combination</w:t>
      </w:r>
      <w:r w:rsidR="007C4AE8">
        <w:t>.</w:t>
      </w:r>
      <w:r w:rsidR="00EC2126">
        <w:t xml:space="preserve"> This is more than one RB at 15 kHz SCS.</w:t>
      </w:r>
    </w:p>
    <w:p w14:paraId="6302A031" w14:textId="77777777" w:rsidR="0073496C" w:rsidRDefault="00A46001" w:rsidP="0073496C">
      <w:pPr>
        <w:pStyle w:val="Heading1"/>
      </w:pPr>
      <w:r>
        <w:t>4</w:t>
      </w:r>
      <w:r w:rsidR="0073496C">
        <w:tab/>
        <w:t>Conclusion</w:t>
      </w:r>
      <w:r w:rsidR="00F1354A">
        <w:t>s</w:t>
      </w:r>
    </w:p>
    <w:p w14:paraId="10B897AF" w14:textId="0DDFE22A" w:rsidR="00D67E89" w:rsidRDefault="00D67E89" w:rsidP="00D67E89">
      <w:pPr>
        <w:rPr>
          <w:b/>
          <w:bCs/>
        </w:rPr>
      </w:pPr>
      <w:r w:rsidRPr="00901038">
        <w:rPr>
          <w:b/>
          <w:bCs/>
        </w:rPr>
        <w:t xml:space="preserve">Observation 1: In most cases, the ACLR measurement center, i.e., the midpoint between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edge,ACLR,low</m:t>
            </m:r>
          </m:sub>
        </m:sSub>
      </m:oMath>
      <w:r w:rsidRPr="00901038">
        <w:rPr>
          <w:b/>
          <w:bCs/>
        </w:rPr>
        <w:t xml:space="preserve"> and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edge,ACLR,high</m:t>
            </m:r>
          </m:sub>
        </m:sSub>
      </m:oMath>
      <w:r w:rsidRPr="00901038">
        <w:rPr>
          <w:b/>
          <w:bCs/>
        </w:rPr>
        <w:t>, does not coin</w:t>
      </w:r>
      <w:r w:rsidR="00C56D90">
        <w:rPr>
          <w:b/>
          <w:bCs/>
        </w:rPr>
        <w:t>c</w:t>
      </w:r>
      <w:r w:rsidRPr="00901038">
        <w:rPr>
          <w:b/>
          <w:bCs/>
        </w:rPr>
        <w:t xml:space="preserve">ide with the center of the aggregated channel. </w:t>
      </w:r>
    </w:p>
    <w:p w14:paraId="53D50BDF" w14:textId="77777777" w:rsidR="00E009F7" w:rsidRDefault="00E009F7" w:rsidP="00D67E89">
      <w:pPr>
        <w:rPr>
          <w:b/>
          <w:bCs/>
        </w:rPr>
      </w:pPr>
    </w:p>
    <w:p w14:paraId="323DF32B" w14:textId="77777777" w:rsidR="00D83E11" w:rsidRPr="00266F1F" w:rsidRDefault="00D83E11" w:rsidP="00D83E11">
      <w:pPr>
        <w:keepLines/>
        <w:rPr>
          <w:b/>
          <w:bCs/>
        </w:rPr>
      </w:pPr>
      <w:r w:rsidRPr="00DC0F49">
        <w:rPr>
          <w:b/>
          <w:bCs/>
        </w:rPr>
        <w:t xml:space="preserve">Observation </w:t>
      </w:r>
      <w:r>
        <w:rPr>
          <w:b/>
          <w:bCs/>
        </w:rPr>
        <w:t>2</w:t>
      </w:r>
      <w:r w:rsidRPr="00DC0F49">
        <w:rPr>
          <w:b/>
          <w:bCs/>
        </w:rPr>
        <w:t xml:space="preserve">: If </w:t>
      </w:r>
      <w:r>
        <w:rPr>
          <w:b/>
          <w:bCs/>
        </w:rPr>
        <w:t>the ACLR measurement is centered at the center of the aggregated channel despite Observation 1, with the agreed MBW, then outermost RBs may be left outside the MBW depending on the SCS. This is particularly harmful when measuring the power of a narrow allocation located at the edge of the aggregated channel.</w:t>
      </w:r>
    </w:p>
    <w:p w14:paraId="414609E4" w14:textId="77777777" w:rsidR="001B2376" w:rsidRPr="00901038" w:rsidRDefault="001B2376" w:rsidP="00D67E89">
      <w:pPr>
        <w:keepLines/>
        <w:rPr>
          <w:b/>
          <w:bCs/>
        </w:rPr>
      </w:pPr>
    </w:p>
    <w:p w14:paraId="3D2D0DAD" w14:textId="77777777" w:rsidR="00D67E89" w:rsidRPr="002F4FFF" w:rsidRDefault="00D67E89" w:rsidP="00D67E89">
      <w:pPr>
        <w:rPr>
          <w:b/>
          <w:bCs/>
        </w:rPr>
      </w:pPr>
      <w:r w:rsidRPr="002F4FFF">
        <w:rPr>
          <w:b/>
          <w:bCs/>
        </w:rPr>
        <w:t xml:space="preserve">Proposal </w:t>
      </w:r>
      <w:r>
        <w:rPr>
          <w:b/>
          <w:bCs/>
        </w:rPr>
        <w:t>1</w:t>
      </w:r>
      <w:r w:rsidRPr="002F4FFF">
        <w:rPr>
          <w:b/>
          <w:bCs/>
        </w:rPr>
        <w:t>: Specify the center frequency of CA ACLR measurement in the aggregated channel as</w:t>
      </w:r>
    </w:p>
    <w:p w14:paraId="0472810A" w14:textId="6829686D" w:rsidR="00D67E89" w:rsidRPr="00E009F7" w:rsidRDefault="00397CE7" w:rsidP="00D67E89">
      <w:pPr>
        <w:rPr>
          <w:b/>
          <w:bCs/>
        </w:rPr>
      </w:pPr>
      <m:oMathPara>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C,ACLR,channel</m:t>
              </m:r>
            </m:sub>
          </m:sSub>
          <m:r>
            <m:rPr>
              <m:sty m:val="bi"/>
            </m:rPr>
            <w:rPr>
              <w:rFonts w:ascii="Cambria Math" w:hAnsi="Cambria Math"/>
            </w:rPr>
            <m:t xml:space="preserve">= </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C,low</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C,high</m:t>
                  </m:r>
                </m:sub>
              </m:sSub>
            </m:num>
            <m:den>
              <m:r>
                <m:rPr>
                  <m:sty m:val="bi"/>
                </m:rPr>
                <w:rPr>
                  <w:rFonts w:ascii="Cambria Math" w:hAnsi="Cambria Math"/>
                </w:rPr>
                <m:t>2</m:t>
              </m:r>
            </m:den>
          </m:f>
          <m:r>
            <m:rPr>
              <m:sty m:val="bi"/>
            </m:rPr>
            <w:rPr>
              <w:rFonts w:ascii="Cambria Math" w:hAnsi="Cambria Math"/>
            </w:rPr>
            <m:t>+</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MBW</m:t>
                  </m:r>
                </m:e>
                <m:sub>
                  <m:r>
                    <m:rPr>
                      <m:sty m:val="bi"/>
                    </m:rPr>
                    <w:rPr>
                      <w:rFonts w:ascii="Cambria Math" w:hAnsi="Cambria Math"/>
                    </w:rPr>
                    <m:t>ACLR,high</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MBW</m:t>
                  </m:r>
                </m:e>
                <m:sub>
                  <m:r>
                    <m:rPr>
                      <m:sty m:val="bi"/>
                    </m:rPr>
                    <w:rPr>
                      <w:rFonts w:ascii="Cambria Math" w:hAnsi="Cambria Math"/>
                    </w:rPr>
                    <m:t>ACLR,low</m:t>
                  </m:r>
                </m:sub>
              </m:sSub>
            </m:num>
            <m:den>
              <m:r>
                <m:rPr>
                  <m:sty m:val="bi"/>
                </m:rPr>
                <w:rPr>
                  <w:rFonts w:ascii="Cambria Math" w:hAnsi="Cambria Math"/>
                </w:rPr>
                <m:t>4</m:t>
              </m:r>
            </m:den>
          </m:f>
          <m:r>
            <m:rPr>
              <m:sty m:val="bi"/>
            </m:rPr>
            <w:rPr>
              <w:rFonts w:ascii="Cambria Math" w:hAnsi="Cambria Math"/>
            </w:rPr>
            <m:t>.</m:t>
          </m:r>
        </m:oMath>
      </m:oMathPara>
    </w:p>
    <w:p w14:paraId="17981171" w14:textId="77777777" w:rsidR="00E009F7" w:rsidRPr="002F4FFF" w:rsidRDefault="00E009F7" w:rsidP="00D67E89">
      <w:pPr>
        <w:rPr>
          <w:b/>
          <w:bCs/>
        </w:rPr>
      </w:pPr>
    </w:p>
    <w:p w14:paraId="37CD1248" w14:textId="77777777" w:rsidR="00D67E89" w:rsidRPr="008A0143" w:rsidRDefault="00D67E89" w:rsidP="00D67E89">
      <w:pPr>
        <w:rPr>
          <w:b/>
          <w:bCs/>
        </w:rPr>
      </w:pPr>
      <w:r w:rsidRPr="008A0143">
        <w:rPr>
          <w:b/>
          <w:bCs/>
        </w:rPr>
        <w:t xml:space="preserve">Proposal 2: </w:t>
      </w:r>
      <w:r>
        <w:rPr>
          <w:b/>
          <w:bCs/>
        </w:rPr>
        <w:t>S</w:t>
      </w:r>
      <w:r w:rsidRPr="008A0143">
        <w:rPr>
          <w:b/>
          <w:bCs/>
        </w:rPr>
        <w:t>pecif</w:t>
      </w:r>
      <w:r>
        <w:rPr>
          <w:b/>
          <w:bCs/>
        </w:rPr>
        <w:t>y</w:t>
      </w:r>
      <w:r w:rsidRPr="008A0143">
        <w:rPr>
          <w:b/>
          <w:bCs/>
        </w:rPr>
        <w:t xml:space="preserve"> </w:t>
      </w:r>
      <w:r>
        <w:rPr>
          <w:b/>
          <w:bCs/>
        </w:rPr>
        <w:t>t</w:t>
      </w:r>
      <w:r w:rsidRPr="008A0143">
        <w:rPr>
          <w:b/>
          <w:bCs/>
        </w:rPr>
        <w:t xml:space="preserve">he spacing between ACLR measurement center frequencies </w:t>
      </w:r>
      <w:r>
        <w:rPr>
          <w:b/>
          <w:bCs/>
        </w:rPr>
        <w:t>(</w:t>
      </w:r>
      <w:r w:rsidRPr="008A0143">
        <w:rPr>
          <w:b/>
          <w:bCs/>
        </w:rPr>
        <w:t>between the aggregated channel and adjacent aggregated channels on both sides</w:t>
      </w:r>
      <w:r>
        <w:rPr>
          <w:b/>
          <w:bCs/>
        </w:rPr>
        <w:t>)</w:t>
      </w:r>
      <w:r w:rsidRPr="008A0143">
        <w:rPr>
          <w:b/>
          <w:bCs/>
        </w:rPr>
        <w:t xml:space="preserve"> to </w:t>
      </w:r>
      <w:r>
        <w:rPr>
          <w:b/>
          <w:bCs/>
        </w:rPr>
        <w:t xml:space="preserve">be </w:t>
      </w:r>
      <m:oMath>
        <m:sSub>
          <m:sSubPr>
            <m:ctrlPr>
              <w:rPr>
                <w:rFonts w:ascii="Cambria Math" w:hAnsi="Cambria Math"/>
                <w:b/>
                <w:bCs/>
                <w:i/>
              </w:rPr>
            </m:ctrlPr>
          </m:sSubPr>
          <m:e>
            <m:r>
              <m:rPr>
                <m:sty m:val="bi"/>
              </m:rPr>
              <w:rPr>
                <w:rFonts w:ascii="Cambria Math" w:hAnsi="Cambria Math"/>
              </w:rPr>
              <m:t>BW</m:t>
            </m:r>
          </m:e>
          <m:sub>
            <m:r>
              <m:rPr>
                <m:sty m:val="bi"/>
              </m:rPr>
              <w:rPr>
                <w:rFonts w:ascii="Cambria Math" w:hAnsi="Cambria Math"/>
              </w:rPr>
              <m:t>Channel_CA</m:t>
            </m:r>
          </m:sub>
        </m:sSub>
      </m:oMath>
      <w:r w:rsidRPr="008A0143">
        <w:rPr>
          <w:b/>
          <w:bCs/>
        </w:rPr>
        <w:t>, the aggregated channel bandwidth. Thus</w:t>
      </w:r>
      <w:r>
        <w:rPr>
          <w:b/>
          <w:bCs/>
        </w:rPr>
        <w:t>,</w:t>
      </w:r>
      <w:r w:rsidRPr="008A0143">
        <w:rPr>
          <w:b/>
          <w:bCs/>
        </w:rPr>
        <w:t xml:space="preserve"> the measurement center frequencies for the adjacent aggregated channels </w:t>
      </w:r>
      <w:r>
        <w:rPr>
          <w:b/>
          <w:bCs/>
        </w:rPr>
        <w:t>become</w:t>
      </w:r>
    </w:p>
    <w:p w14:paraId="51433018" w14:textId="77777777" w:rsidR="00D67E89" w:rsidRPr="008A0143" w:rsidRDefault="00397CE7" w:rsidP="00D67E89">
      <w:pPr>
        <w:rPr>
          <w:b/>
          <w:bCs/>
        </w:rPr>
      </w:pPr>
      <m:oMathPara>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C,ACLR,below</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C,ACLR,channel</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BW</m:t>
              </m:r>
            </m:e>
            <m:sub>
              <m:r>
                <m:rPr>
                  <m:sty m:val="bi"/>
                </m:rPr>
                <w:rPr>
                  <w:rFonts w:ascii="Cambria Math" w:hAnsi="Cambria Math"/>
                </w:rPr>
                <m:t>Channel_CA</m:t>
              </m:r>
            </m:sub>
          </m:sSub>
        </m:oMath>
      </m:oMathPara>
    </w:p>
    <w:p w14:paraId="1998DDB1" w14:textId="77777777" w:rsidR="00D67E89" w:rsidRPr="008A0143" w:rsidRDefault="00397CE7" w:rsidP="00D67E89">
      <w:pPr>
        <w:rPr>
          <w:b/>
          <w:bCs/>
        </w:rPr>
      </w:pPr>
      <m:oMathPara>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C,ACLR,above</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C,ACLR,channel</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BW</m:t>
              </m:r>
            </m:e>
            <m:sub>
              <m:r>
                <m:rPr>
                  <m:sty m:val="bi"/>
                </m:rPr>
                <w:rPr>
                  <w:rFonts w:ascii="Cambria Math" w:hAnsi="Cambria Math"/>
                </w:rPr>
                <m:t>Channel_CA</m:t>
              </m:r>
            </m:sub>
          </m:sSub>
          <m:r>
            <m:rPr>
              <m:sty m:val="bi"/>
            </m:rPr>
            <w:rPr>
              <w:rFonts w:ascii="Cambria Math" w:hAnsi="Cambria Math"/>
            </w:rPr>
            <m:t>.</m:t>
          </m:r>
        </m:oMath>
      </m:oMathPara>
    </w:p>
    <w:p w14:paraId="187D8208" w14:textId="77777777" w:rsidR="00D67E89" w:rsidRPr="008A0143" w:rsidRDefault="00D67E89" w:rsidP="00D67E89">
      <w:pPr>
        <w:rPr>
          <w:b/>
          <w:bCs/>
        </w:rPr>
      </w:pPr>
      <w:r w:rsidRPr="008A0143">
        <w:rPr>
          <w:b/>
          <w:bCs/>
        </w:rPr>
        <w:t>below and above the aggregated channel, respectively.</w:t>
      </w:r>
    </w:p>
    <w:p w14:paraId="18798E43" w14:textId="77777777" w:rsidR="005B6D67" w:rsidRDefault="005B6D67" w:rsidP="00C8539D"/>
    <w:p w14:paraId="73198E2E" w14:textId="68582468" w:rsidR="00393B90" w:rsidRDefault="00393B90" w:rsidP="00C8539D">
      <w:r>
        <w:lastRenderedPageBreak/>
        <w:t>The same approach and formulas can be applied also in other frequency ranges</w:t>
      </w:r>
      <w:r w:rsidR="00B47E64">
        <w:t>.</w:t>
      </w:r>
    </w:p>
    <w:p w14:paraId="01A287B5" w14:textId="77777777" w:rsidR="00020F23" w:rsidRDefault="00A46001" w:rsidP="001A5C70">
      <w:pPr>
        <w:pStyle w:val="Heading1"/>
      </w:pPr>
      <w:r>
        <w:t>5</w:t>
      </w:r>
      <w:r w:rsidR="00020F23">
        <w:tab/>
        <w:t>References</w:t>
      </w:r>
    </w:p>
    <w:p w14:paraId="533CD0BE" w14:textId="63520F23" w:rsidR="00A46001" w:rsidRDefault="00020F23" w:rsidP="001A5C70">
      <w:pPr>
        <w:keepNext/>
        <w:keepLines/>
      </w:pPr>
      <w:r>
        <w:t>[1]</w:t>
      </w:r>
      <w:r w:rsidRPr="00020F23">
        <w:t xml:space="preserve"> </w:t>
      </w:r>
      <w:r w:rsidR="005115D8" w:rsidRPr="005115D8">
        <w:t>R4-2005657</w:t>
      </w:r>
      <w:r>
        <w:t xml:space="preserve">, </w:t>
      </w:r>
      <w:r w:rsidR="005115D8">
        <w:t xml:space="preserve">WF on intra-band UL contiguous CA emission requirement, </w:t>
      </w:r>
      <w:r w:rsidR="006F1C77">
        <w:t>RAN4#-bis-e, April 2020</w:t>
      </w:r>
    </w:p>
    <w:p w14:paraId="407BDDBD" w14:textId="64A4FE0D" w:rsidR="005115D8" w:rsidRPr="00020F23" w:rsidRDefault="006F1C77" w:rsidP="00F1354A">
      <w:r>
        <w:t xml:space="preserve">[2] </w:t>
      </w:r>
      <w:r w:rsidRPr="006F1C77">
        <w:t>R4-2003236</w:t>
      </w:r>
      <w:r>
        <w:t xml:space="preserve">, </w:t>
      </w:r>
      <w:r w:rsidRPr="006F1C77">
        <w:t>Sub-block edges and ACLR MBW for FR1 contiguous UL CA</w:t>
      </w:r>
      <w:r>
        <w:t>, RAN4#94-bis-e, April 2020</w:t>
      </w:r>
    </w:p>
    <w:p w14:paraId="22AC1278" w14:textId="77777777" w:rsidR="00F1354A" w:rsidRPr="00F1354A" w:rsidRDefault="00F1354A" w:rsidP="00F1354A"/>
    <w:sectPr w:rsidR="00F1354A" w:rsidRPr="00F1354A" w:rsidSect="00426A90">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C915E" w14:textId="77777777" w:rsidR="00397CE7" w:rsidRDefault="00397CE7" w:rsidP="002B3503">
      <w:pPr>
        <w:spacing w:after="0"/>
      </w:pPr>
      <w:r>
        <w:separator/>
      </w:r>
    </w:p>
  </w:endnote>
  <w:endnote w:type="continuationSeparator" w:id="0">
    <w:p w14:paraId="58632658" w14:textId="77777777" w:rsidR="00397CE7" w:rsidRDefault="00397CE7"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3C9E2" w14:textId="77777777" w:rsidR="00397CE7" w:rsidRDefault="00397CE7" w:rsidP="002B3503">
      <w:pPr>
        <w:spacing w:after="0"/>
      </w:pPr>
      <w:r>
        <w:separator/>
      </w:r>
    </w:p>
  </w:footnote>
  <w:footnote w:type="continuationSeparator" w:id="0">
    <w:p w14:paraId="27C1F1D8" w14:textId="77777777" w:rsidR="00397CE7" w:rsidRDefault="00397CE7"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377361"/>
    <w:multiLevelType w:val="hybridMultilevel"/>
    <w:tmpl w:val="3E06C03E"/>
    <w:lvl w:ilvl="0" w:tplc="866C5498">
      <w:start w:val="1"/>
      <w:numFmt w:val="bullet"/>
      <w:lvlText w:val="•"/>
      <w:lvlJc w:val="left"/>
      <w:pPr>
        <w:tabs>
          <w:tab w:val="num" w:pos="720"/>
        </w:tabs>
        <w:ind w:left="720" w:hanging="360"/>
      </w:pPr>
      <w:rPr>
        <w:rFonts w:ascii="Arial" w:hAnsi="Arial" w:hint="default"/>
      </w:rPr>
    </w:lvl>
    <w:lvl w:ilvl="1" w:tplc="B92412CA">
      <w:start w:val="1"/>
      <w:numFmt w:val="bullet"/>
      <w:lvlText w:val="•"/>
      <w:lvlJc w:val="left"/>
      <w:pPr>
        <w:tabs>
          <w:tab w:val="num" w:pos="1440"/>
        </w:tabs>
        <w:ind w:left="1440" w:hanging="360"/>
      </w:pPr>
      <w:rPr>
        <w:rFonts w:ascii="Arial" w:hAnsi="Arial" w:hint="default"/>
      </w:rPr>
    </w:lvl>
    <w:lvl w:ilvl="2" w:tplc="18E20CAC">
      <w:start w:val="1"/>
      <w:numFmt w:val="bullet"/>
      <w:lvlText w:val="•"/>
      <w:lvlJc w:val="left"/>
      <w:pPr>
        <w:tabs>
          <w:tab w:val="num" w:pos="2160"/>
        </w:tabs>
        <w:ind w:left="2160" w:hanging="360"/>
      </w:pPr>
      <w:rPr>
        <w:rFonts w:ascii="Arial" w:hAnsi="Arial" w:hint="default"/>
      </w:rPr>
    </w:lvl>
    <w:lvl w:ilvl="3" w:tplc="89C6E7B2" w:tentative="1">
      <w:start w:val="1"/>
      <w:numFmt w:val="bullet"/>
      <w:lvlText w:val="•"/>
      <w:lvlJc w:val="left"/>
      <w:pPr>
        <w:tabs>
          <w:tab w:val="num" w:pos="2880"/>
        </w:tabs>
        <w:ind w:left="2880" w:hanging="360"/>
      </w:pPr>
      <w:rPr>
        <w:rFonts w:ascii="Arial" w:hAnsi="Arial" w:hint="default"/>
      </w:rPr>
    </w:lvl>
    <w:lvl w:ilvl="4" w:tplc="2744BAF0" w:tentative="1">
      <w:start w:val="1"/>
      <w:numFmt w:val="bullet"/>
      <w:lvlText w:val="•"/>
      <w:lvlJc w:val="left"/>
      <w:pPr>
        <w:tabs>
          <w:tab w:val="num" w:pos="3600"/>
        </w:tabs>
        <w:ind w:left="3600" w:hanging="360"/>
      </w:pPr>
      <w:rPr>
        <w:rFonts w:ascii="Arial" w:hAnsi="Arial" w:hint="default"/>
      </w:rPr>
    </w:lvl>
    <w:lvl w:ilvl="5" w:tplc="23D870D0" w:tentative="1">
      <w:start w:val="1"/>
      <w:numFmt w:val="bullet"/>
      <w:lvlText w:val="•"/>
      <w:lvlJc w:val="left"/>
      <w:pPr>
        <w:tabs>
          <w:tab w:val="num" w:pos="4320"/>
        </w:tabs>
        <w:ind w:left="4320" w:hanging="360"/>
      </w:pPr>
      <w:rPr>
        <w:rFonts w:ascii="Arial" w:hAnsi="Arial" w:hint="default"/>
      </w:rPr>
    </w:lvl>
    <w:lvl w:ilvl="6" w:tplc="40CA06E6" w:tentative="1">
      <w:start w:val="1"/>
      <w:numFmt w:val="bullet"/>
      <w:lvlText w:val="•"/>
      <w:lvlJc w:val="left"/>
      <w:pPr>
        <w:tabs>
          <w:tab w:val="num" w:pos="5040"/>
        </w:tabs>
        <w:ind w:left="5040" w:hanging="360"/>
      </w:pPr>
      <w:rPr>
        <w:rFonts w:ascii="Arial" w:hAnsi="Arial" w:hint="default"/>
      </w:rPr>
    </w:lvl>
    <w:lvl w:ilvl="7" w:tplc="08BC75D0" w:tentative="1">
      <w:start w:val="1"/>
      <w:numFmt w:val="bullet"/>
      <w:lvlText w:val="•"/>
      <w:lvlJc w:val="left"/>
      <w:pPr>
        <w:tabs>
          <w:tab w:val="num" w:pos="5760"/>
        </w:tabs>
        <w:ind w:left="5760" w:hanging="360"/>
      </w:pPr>
      <w:rPr>
        <w:rFonts w:ascii="Arial" w:hAnsi="Arial" w:hint="default"/>
      </w:rPr>
    </w:lvl>
    <w:lvl w:ilvl="8" w:tplc="43F45C8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0A73AB"/>
    <w:multiLevelType w:val="hybridMultilevel"/>
    <w:tmpl w:val="610A22C2"/>
    <w:lvl w:ilvl="0" w:tplc="B3BCB8B0">
      <w:start w:val="1"/>
      <w:numFmt w:val="bullet"/>
      <w:lvlText w:val="•"/>
      <w:lvlJc w:val="left"/>
      <w:pPr>
        <w:tabs>
          <w:tab w:val="num" w:pos="720"/>
        </w:tabs>
        <w:ind w:left="720" w:hanging="360"/>
      </w:pPr>
      <w:rPr>
        <w:rFonts w:ascii="Arial" w:hAnsi="Arial" w:hint="default"/>
      </w:rPr>
    </w:lvl>
    <w:lvl w:ilvl="1" w:tplc="EE0620C2">
      <w:start w:val="146"/>
      <w:numFmt w:val="bullet"/>
      <w:lvlText w:val="•"/>
      <w:lvlJc w:val="left"/>
      <w:pPr>
        <w:tabs>
          <w:tab w:val="num" w:pos="1440"/>
        </w:tabs>
        <w:ind w:left="1440" w:hanging="360"/>
      </w:pPr>
      <w:rPr>
        <w:rFonts w:ascii="Arial" w:hAnsi="Arial" w:hint="default"/>
      </w:rPr>
    </w:lvl>
    <w:lvl w:ilvl="2" w:tplc="3766BC64">
      <w:start w:val="146"/>
      <w:numFmt w:val="bullet"/>
      <w:lvlText w:val="•"/>
      <w:lvlJc w:val="left"/>
      <w:pPr>
        <w:tabs>
          <w:tab w:val="num" w:pos="2160"/>
        </w:tabs>
        <w:ind w:left="2160" w:hanging="360"/>
      </w:pPr>
      <w:rPr>
        <w:rFonts w:ascii="Arial" w:hAnsi="Arial" w:hint="default"/>
      </w:rPr>
    </w:lvl>
    <w:lvl w:ilvl="3" w:tplc="CF72C5A0" w:tentative="1">
      <w:start w:val="1"/>
      <w:numFmt w:val="bullet"/>
      <w:lvlText w:val="•"/>
      <w:lvlJc w:val="left"/>
      <w:pPr>
        <w:tabs>
          <w:tab w:val="num" w:pos="2880"/>
        </w:tabs>
        <w:ind w:left="2880" w:hanging="360"/>
      </w:pPr>
      <w:rPr>
        <w:rFonts w:ascii="Arial" w:hAnsi="Arial" w:hint="default"/>
      </w:rPr>
    </w:lvl>
    <w:lvl w:ilvl="4" w:tplc="430204B6" w:tentative="1">
      <w:start w:val="1"/>
      <w:numFmt w:val="bullet"/>
      <w:lvlText w:val="•"/>
      <w:lvlJc w:val="left"/>
      <w:pPr>
        <w:tabs>
          <w:tab w:val="num" w:pos="3600"/>
        </w:tabs>
        <w:ind w:left="3600" w:hanging="360"/>
      </w:pPr>
      <w:rPr>
        <w:rFonts w:ascii="Arial" w:hAnsi="Arial" w:hint="default"/>
      </w:rPr>
    </w:lvl>
    <w:lvl w:ilvl="5" w:tplc="0FFA48F8" w:tentative="1">
      <w:start w:val="1"/>
      <w:numFmt w:val="bullet"/>
      <w:lvlText w:val="•"/>
      <w:lvlJc w:val="left"/>
      <w:pPr>
        <w:tabs>
          <w:tab w:val="num" w:pos="4320"/>
        </w:tabs>
        <w:ind w:left="4320" w:hanging="360"/>
      </w:pPr>
      <w:rPr>
        <w:rFonts w:ascii="Arial" w:hAnsi="Arial" w:hint="default"/>
      </w:rPr>
    </w:lvl>
    <w:lvl w:ilvl="6" w:tplc="E9807D64" w:tentative="1">
      <w:start w:val="1"/>
      <w:numFmt w:val="bullet"/>
      <w:lvlText w:val="•"/>
      <w:lvlJc w:val="left"/>
      <w:pPr>
        <w:tabs>
          <w:tab w:val="num" w:pos="5040"/>
        </w:tabs>
        <w:ind w:left="5040" w:hanging="360"/>
      </w:pPr>
      <w:rPr>
        <w:rFonts w:ascii="Arial" w:hAnsi="Arial" w:hint="default"/>
      </w:rPr>
    </w:lvl>
    <w:lvl w:ilvl="7" w:tplc="C1F2E076" w:tentative="1">
      <w:start w:val="1"/>
      <w:numFmt w:val="bullet"/>
      <w:lvlText w:val="•"/>
      <w:lvlJc w:val="left"/>
      <w:pPr>
        <w:tabs>
          <w:tab w:val="num" w:pos="5760"/>
        </w:tabs>
        <w:ind w:left="5760" w:hanging="360"/>
      </w:pPr>
      <w:rPr>
        <w:rFonts w:ascii="Arial" w:hAnsi="Arial" w:hint="default"/>
      </w:rPr>
    </w:lvl>
    <w:lvl w:ilvl="8" w:tplc="A8FA20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2BB6396"/>
    <w:multiLevelType w:val="hybridMultilevel"/>
    <w:tmpl w:val="5628A6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5"/>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B9F"/>
    <w:rsid w:val="000008B4"/>
    <w:rsid w:val="0000645E"/>
    <w:rsid w:val="0001602F"/>
    <w:rsid w:val="00020F23"/>
    <w:rsid w:val="00027982"/>
    <w:rsid w:val="0003263E"/>
    <w:rsid w:val="000370A5"/>
    <w:rsid w:val="00037DDF"/>
    <w:rsid w:val="000420D5"/>
    <w:rsid w:val="0004660F"/>
    <w:rsid w:val="00064E7F"/>
    <w:rsid w:val="00065CA9"/>
    <w:rsid w:val="00067294"/>
    <w:rsid w:val="0007562E"/>
    <w:rsid w:val="00084393"/>
    <w:rsid w:val="00084771"/>
    <w:rsid w:val="0008585F"/>
    <w:rsid w:val="0008679A"/>
    <w:rsid w:val="00091F0B"/>
    <w:rsid w:val="000A3DFD"/>
    <w:rsid w:val="000A5F46"/>
    <w:rsid w:val="000A6473"/>
    <w:rsid w:val="000A6A9A"/>
    <w:rsid w:val="000B0C5F"/>
    <w:rsid w:val="000B3B17"/>
    <w:rsid w:val="000B4E56"/>
    <w:rsid w:val="000B5E8E"/>
    <w:rsid w:val="000D5171"/>
    <w:rsid w:val="000E4D14"/>
    <w:rsid w:val="000E671A"/>
    <w:rsid w:val="000F2546"/>
    <w:rsid w:val="000F50EC"/>
    <w:rsid w:val="00101626"/>
    <w:rsid w:val="00103568"/>
    <w:rsid w:val="00113DD7"/>
    <w:rsid w:val="001221D2"/>
    <w:rsid w:val="001364A1"/>
    <w:rsid w:val="0014241A"/>
    <w:rsid w:val="001458FC"/>
    <w:rsid w:val="0015000E"/>
    <w:rsid w:val="00150136"/>
    <w:rsid w:val="0015578A"/>
    <w:rsid w:val="001568C3"/>
    <w:rsid w:val="0016131F"/>
    <w:rsid w:val="001647CF"/>
    <w:rsid w:val="00166901"/>
    <w:rsid w:val="001751F1"/>
    <w:rsid w:val="0018632F"/>
    <w:rsid w:val="00187AC5"/>
    <w:rsid w:val="001953B8"/>
    <w:rsid w:val="001A5C70"/>
    <w:rsid w:val="001B2376"/>
    <w:rsid w:val="001B3AEF"/>
    <w:rsid w:val="001B61DD"/>
    <w:rsid w:val="001B6495"/>
    <w:rsid w:val="001C3B9F"/>
    <w:rsid w:val="001C473D"/>
    <w:rsid w:val="001D44A7"/>
    <w:rsid w:val="001D64A5"/>
    <w:rsid w:val="001E4F63"/>
    <w:rsid w:val="002051BB"/>
    <w:rsid w:val="002127E2"/>
    <w:rsid w:val="00214C87"/>
    <w:rsid w:val="00214CF4"/>
    <w:rsid w:val="00215035"/>
    <w:rsid w:val="00230F65"/>
    <w:rsid w:val="0024072D"/>
    <w:rsid w:val="00241E14"/>
    <w:rsid w:val="00260340"/>
    <w:rsid w:val="00266F1F"/>
    <w:rsid w:val="00273303"/>
    <w:rsid w:val="00287910"/>
    <w:rsid w:val="00291DDD"/>
    <w:rsid w:val="00296BCA"/>
    <w:rsid w:val="002A7181"/>
    <w:rsid w:val="002B3503"/>
    <w:rsid w:val="002B520A"/>
    <w:rsid w:val="002C2C9A"/>
    <w:rsid w:val="002C3B51"/>
    <w:rsid w:val="002D030D"/>
    <w:rsid w:val="002D2822"/>
    <w:rsid w:val="002D4117"/>
    <w:rsid w:val="002E66E3"/>
    <w:rsid w:val="002F3EA0"/>
    <w:rsid w:val="002F4FFF"/>
    <w:rsid w:val="002F6A38"/>
    <w:rsid w:val="00304DA8"/>
    <w:rsid w:val="003061DC"/>
    <w:rsid w:val="00347DEA"/>
    <w:rsid w:val="00364168"/>
    <w:rsid w:val="00371041"/>
    <w:rsid w:val="003732AC"/>
    <w:rsid w:val="003777FE"/>
    <w:rsid w:val="00386124"/>
    <w:rsid w:val="00393B90"/>
    <w:rsid w:val="003946C3"/>
    <w:rsid w:val="00397CE7"/>
    <w:rsid w:val="003C0D66"/>
    <w:rsid w:val="003C42AC"/>
    <w:rsid w:val="003C6403"/>
    <w:rsid w:val="003E31DF"/>
    <w:rsid w:val="003F7C08"/>
    <w:rsid w:val="00400F07"/>
    <w:rsid w:val="00402DF6"/>
    <w:rsid w:val="004034C8"/>
    <w:rsid w:val="0040353E"/>
    <w:rsid w:val="004100A8"/>
    <w:rsid w:val="004113DC"/>
    <w:rsid w:val="004148DE"/>
    <w:rsid w:val="004173E4"/>
    <w:rsid w:val="0042109F"/>
    <w:rsid w:val="00426A90"/>
    <w:rsid w:val="0043450E"/>
    <w:rsid w:val="004369F3"/>
    <w:rsid w:val="004524FA"/>
    <w:rsid w:val="00452C94"/>
    <w:rsid w:val="00453BA5"/>
    <w:rsid w:val="00454E53"/>
    <w:rsid w:val="004561DB"/>
    <w:rsid w:val="00482477"/>
    <w:rsid w:val="00482DDD"/>
    <w:rsid w:val="00491386"/>
    <w:rsid w:val="00494F18"/>
    <w:rsid w:val="004A0078"/>
    <w:rsid w:val="004A41DA"/>
    <w:rsid w:val="004B3736"/>
    <w:rsid w:val="004B6432"/>
    <w:rsid w:val="004B7E43"/>
    <w:rsid w:val="004C0103"/>
    <w:rsid w:val="004C58F9"/>
    <w:rsid w:val="004D0C67"/>
    <w:rsid w:val="004D3D81"/>
    <w:rsid w:val="004E25BF"/>
    <w:rsid w:val="004E79E6"/>
    <w:rsid w:val="004F43E1"/>
    <w:rsid w:val="005052DF"/>
    <w:rsid w:val="005115D8"/>
    <w:rsid w:val="0052117E"/>
    <w:rsid w:val="00522C8C"/>
    <w:rsid w:val="005309B7"/>
    <w:rsid w:val="00530E0A"/>
    <w:rsid w:val="00541F37"/>
    <w:rsid w:val="00555F37"/>
    <w:rsid w:val="00560A63"/>
    <w:rsid w:val="00564B2E"/>
    <w:rsid w:val="00570B14"/>
    <w:rsid w:val="00593157"/>
    <w:rsid w:val="005A35C6"/>
    <w:rsid w:val="005A6159"/>
    <w:rsid w:val="005A6A8D"/>
    <w:rsid w:val="005A7283"/>
    <w:rsid w:val="005B2640"/>
    <w:rsid w:val="005B6D67"/>
    <w:rsid w:val="005D3072"/>
    <w:rsid w:val="005F4052"/>
    <w:rsid w:val="005F6CE3"/>
    <w:rsid w:val="00602EB6"/>
    <w:rsid w:val="00605325"/>
    <w:rsid w:val="006104AF"/>
    <w:rsid w:val="00610EF2"/>
    <w:rsid w:val="00623307"/>
    <w:rsid w:val="00631465"/>
    <w:rsid w:val="006319F0"/>
    <w:rsid w:val="00641C2E"/>
    <w:rsid w:val="00641E1F"/>
    <w:rsid w:val="00650590"/>
    <w:rsid w:val="00654CEE"/>
    <w:rsid w:val="00664DF6"/>
    <w:rsid w:val="006919C7"/>
    <w:rsid w:val="006A50F3"/>
    <w:rsid w:val="006A53B6"/>
    <w:rsid w:val="006B58FE"/>
    <w:rsid w:val="006C6840"/>
    <w:rsid w:val="006D12DA"/>
    <w:rsid w:val="006D575C"/>
    <w:rsid w:val="006D77C8"/>
    <w:rsid w:val="006E1AD8"/>
    <w:rsid w:val="006E2EA9"/>
    <w:rsid w:val="006E5469"/>
    <w:rsid w:val="006F0477"/>
    <w:rsid w:val="006F1606"/>
    <w:rsid w:val="006F1C77"/>
    <w:rsid w:val="00700831"/>
    <w:rsid w:val="00703672"/>
    <w:rsid w:val="0070427B"/>
    <w:rsid w:val="00705596"/>
    <w:rsid w:val="00714675"/>
    <w:rsid w:val="00721516"/>
    <w:rsid w:val="007254B1"/>
    <w:rsid w:val="00726265"/>
    <w:rsid w:val="0073496C"/>
    <w:rsid w:val="00734EBD"/>
    <w:rsid w:val="00763574"/>
    <w:rsid w:val="00775BF6"/>
    <w:rsid w:val="00784E49"/>
    <w:rsid w:val="0079231B"/>
    <w:rsid w:val="00794435"/>
    <w:rsid w:val="00794808"/>
    <w:rsid w:val="007A1FE2"/>
    <w:rsid w:val="007A38F9"/>
    <w:rsid w:val="007C4112"/>
    <w:rsid w:val="007C4AE8"/>
    <w:rsid w:val="007D20DF"/>
    <w:rsid w:val="007D7B24"/>
    <w:rsid w:val="007E177B"/>
    <w:rsid w:val="007F4676"/>
    <w:rsid w:val="007F7086"/>
    <w:rsid w:val="00820359"/>
    <w:rsid w:val="00820BC5"/>
    <w:rsid w:val="00822FAB"/>
    <w:rsid w:val="008236E4"/>
    <w:rsid w:val="00850296"/>
    <w:rsid w:val="0085459F"/>
    <w:rsid w:val="00857210"/>
    <w:rsid w:val="00885C08"/>
    <w:rsid w:val="0088793E"/>
    <w:rsid w:val="0089260E"/>
    <w:rsid w:val="00897595"/>
    <w:rsid w:val="008A0143"/>
    <w:rsid w:val="008A2440"/>
    <w:rsid w:val="008A4493"/>
    <w:rsid w:val="008B398A"/>
    <w:rsid w:val="008B3B40"/>
    <w:rsid w:val="008C63E7"/>
    <w:rsid w:val="008E44F4"/>
    <w:rsid w:val="008F0F32"/>
    <w:rsid w:val="008F6EEA"/>
    <w:rsid w:val="008F7FD1"/>
    <w:rsid w:val="00901038"/>
    <w:rsid w:val="00905D49"/>
    <w:rsid w:val="009064A4"/>
    <w:rsid w:val="00910C02"/>
    <w:rsid w:val="0091383D"/>
    <w:rsid w:val="00914272"/>
    <w:rsid w:val="0091652E"/>
    <w:rsid w:val="009225C0"/>
    <w:rsid w:val="009364B4"/>
    <w:rsid w:val="00940559"/>
    <w:rsid w:val="0094195E"/>
    <w:rsid w:val="009627F3"/>
    <w:rsid w:val="0096646D"/>
    <w:rsid w:val="00976F32"/>
    <w:rsid w:val="009943D4"/>
    <w:rsid w:val="00994B01"/>
    <w:rsid w:val="00996062"/>
    <w:rsid w:val="009A0AB9"/>
    <w:rsid w:val="009A2176"/>
    <w:rsid w:val="009A4887"/>
    <w:rsid w:val="009B0B70"/>
    <w:rsid w:val="009B1E68"/>
    <w:rsid w:val="009C0E9B"/>
    <w:rsid w:val="009C1C6D"/>
    <w:rsid w:val="009D1984"/>
    <w:rsid w:val="00A033D4"/>
    <w:rsid w:val="00A039A3"/>
    <w:rsid w:val="00A03AAB"/>
    <w:rsid w:val="00A16D62"/>
    <w:rsid w:val="00A1710E"/>
    <w:rsid w:val="00A226F6"/>
    <w:rsid w:val="00A30DC4"/>
    <w:rsid w:val="00A31791"/>
    <w:rsid w:val="00A424FC"/>
    <w:rsid w:val="00A451E8"/>
    <w:rsid w:val="00A46001"/>
    <w:rsid w:val="00A6018C"/>
    <w:rsid w:val="00A6670E"/>
    <w:rsid w:val="00A673E6"/>
    <w:rsid w:val="00A67A94"/>
    <w:rsid w:val="00A71D69"/>
    <w:rsid w:val="00A7210A"/>
    <w:rsid w:val="00A767DC"/>
    <w:rsid w:val="00A82FD9"/>
    <w:rsid w:val="00A91B82"/>
    <w:rsid w:val="00AB6F92"/>
    <w:rsid w:val="00AC344B"/>
    <w:rsid w:val="00AC50AB"/>
    <w:rsid w:val="00AC69AF"/>
    <w:rsid w:val="00AD1832"/>
    <w:rsid w:val="00AD5FBB"/>
    <w:rsid w:val="00AE09F6"/>
    <w:rsid w:val="00AE3721"/>
    <w:rsid w:val="00AE5F41"/>
    <w:rsid w:val="00AE62DA"/>
    <w:rsid w:val="00AE6327"/>
    <w:rsid w:val="00AF0724"/>
    <w:rsid w:val="00AF38B6"/>
    <w:rsid w:val="00AF7CB0"/>
    <w:rsid w:val="00B0192C"/>
    <w:rsid w:val="00B02668"/>
    <w:rsid w:val="00B12CF5"/>
    <w:rsid w:val="00B2033B"/>
    <w:rsid w:val="00B20926"/>
    <w:rsid w:val="00B43457"/>
    <w:rsid w:val="00B4385F"/>
    <w:rsid w:val="00B442B7"/>
    <w:rsid w:val="00B47E64"/>
    <w:rsid w:val="00B51B05"/>
    <w:rsid w:val="00B56E97"/>
    <w:rsid w:val="00B629D8"/>
    <w:rsid w:val="00B63135"/>
    <w:rsid w:val="00B65B59"/>
    <w:rsid w:val="00B66628"/>
    <w:rsid w:val="00B6700D"/>
    <w:rsid w:val="00B70CAE"/>
    <w:rsid w:val="00B7699B"/>
    <w:rsid w:val="00B813D6"/>
    <w:rsid w:val="00B97E68"/>
    <w:rsid w:val="00BA6533"/>
    <w:rsid w:val="00BA6F2C"/>
    <w:rsid w:val="00BB1927"/>
    <w:rsid w:val="00BB786B"/>
    <w:rsid w:val="00BC764C"/>
    <w:rsid w:val="00BD1FBB"/>
    <w:rsid w:val="00BD7C46"/>
    <w:rsid w:val="00BE1016"/>
    <w:rsid w:val="00BE6DF3"/>
    <w:rsid w:val="00BF4228"/>
    <w:rsid w:val="00BF4B17"/>
    <w:rsid w:val="00C00207"/>
    <w:rsid w:val="00C100CF"/>
    <w:rsid w:val="00C14130"/>
    <w:rsid w:val="00C165DA"/>
    <w:rsid w:val="00C174BB"/>
    <w:rsid w:val="00C20F54"/>
    <w:rsid w:val="00C21554"/>
    <w:rsid w:val="00C33B37"/>
    <w:rsid w:val="00C56D90"/>
    <w:rsid w:val="00C6032C"/>
    <w:rsid w:val="00C6776E"/>
    <w:rsid w:val="00C81014"/>
    <w:rsid w:val="00C81190"/>
    <w:rsid w:val="00C8539D"/>
    <w:rsid w:val="00C86709"/>
    <w:rsid w:val="00C86FD9"/>
    <w:rsid w:val="00C93BF8"/>
    <w:rsid w:val="00C9571C"/>
    <w:rsid w:val="00CC7040"/>
    <w:rsid w:val="00CD25F8"/>
    <w:rsid w:val="00CF1F82"/>
    <w:rsid w:val="00CF4412"/>
    <w:rsid w:val="00D011B5"/>
    <w:rsid w:val="00D01B53"/>
    <w:rsid w:val="00D01D65"/>
    <w:rsid w:val="00D07AD5"/>
    <w:rsid w:val="00D205AB"/>
    <w:rsid w:val="00D275CC"/>
    <w:rsid w:val="00D31B62"/>
    <w:rsid w:val="00D47A46"/>
    <w:rsid w:val="00D6142F"/>
    <w:rsid w:val="00D640A9"/>
    <w:rsid w:val="00D64581"/>
    <w:rsid w:val="00D64F0B"/>
    <w:rsid w:val="00D67E89"/>
    <w:rsid w:val="00D733F3"/>
    <w:rsid w:val="00D767C4"/>
    <w:rsid w:val="00D77CF5"/>
    <w:rsid w:val="00D83E11"/>
    <w:rsid w:val="00D87BA7"/>
    <w:rsid w:val="00DA22F1"/>
    <w:rsid w:val="00DA50A8"/>
    <w:rsid w:val="00DB0AA3"/>
    <w:rsid w:val="00DC0F49"/>
    <w:rsid w:val="00DC40E5"/>
    <w:rsid w:val="00DD4007"/>
    <w:rsid w:val="00DE343D"/>
    <w:rsid w:val="00DF2E6B"/>
    <w:rsid w:val="00DF4043"/>
    <w:rsid w:val="00DF4078"/>
    <w:rsid w:val="00DF541E"/>
    <w:rsid w:val="00E009F7"/>
    <w:rsid w:val="00E075A8"/>
    <w:rsid w:val="00E0780C"/>
    <w:rsid w:val="00E079F1"/>
    <w:rsid w:val="00E10AC4"/>
    <w:rsid w:val="00E112A9"/>
    <w:rsid w:val="00E11FC0"/>
    <w:rsid w:val="00E23619"/>
    <w:rsid w:val="00E33B68"/>
    <w:rsid w:val="00E35A8B"/>
    <w:rsid w:val="00E375E0"/>
    <w:rsid w:val="00E5539B"/>
    <w:rsid w:val="00E63D44"/>
    <w:rsid w:val="00E674FF"/>
    <w:rsid w:val="00E9329E"/>
    <w:rsid w:val="00E9366D"/>
    <w:rsid w:val="00E962C5"/>
    <w:rsid w:val="00E97A77"/>
    <w:rsid w:val="00EA0625"/>
    <w:rsid w:val="00EA3488"/>
    <w:rsid w:val="00EB0713"/>
    <w:rsid w:val="00EB2E74"/>
    <w:rsid w:val="00EB5F7D"/>
    <w:rsid w:val="00EC2126"/>
    <w:rsid w:val="00EC589F"/>
    <w:rsid w:val="00ED2D44"/>
    <w:rsid w:val="00ED45E0"/>
    <w:rsid w:val="00EE0FE8"/>
    <w:rsid w:val="00EE1412"/>
    <w:rsid w:val="00EF0A23"/>
    <w:rsid w:val="00EF266A"/>
    <w:rsid w:val="00F04AB4"/>
    <w:rsid w:val="00F12F88"/>
    <w:rsid w:val="00F1354A"/>
    <w:rsid w:val="00F23BEC"/>
    <w:rsid w:val="00F27373"/>
    <w:rsid w:val="00F50FDC"/>
    <w:rsid w:val="00F54E9B"/>
    <w:rsid w:val="00F72C0B"/>
    <w:rsid w:val="00F86ADD"/>
    <w:rsid w:val="00F87081"/>
    <w:rsid w:val="00F9486C"/>
    <w:rsid w:val="00F97D64"/>
    <w:rsid w:val="00FA42E2"/>
    <w:rsid w:val="00FC288C"/>
    <w:rsid w:val="00FC3BAE"/>
    <w:rsid w:val="00FD085A"/>
    <w:rsid w:val="00FD543C"/>
    <w:rsid w:val="00FD7028"/>
    <w:rsid w:val="00FE270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C1E8C"/>
  <w15:chartTrackingRefBased/>
  <w15:docId w15:val="{32892C87-E59E-4C45-B7E1-A8639EDF1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97A7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E97A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97A77"/>
    <w:pPr>
      <w:pBdr>
        <w:top w:val="none" w:sz="0" w:space="0" w:color="auto"/>
      </w:pBdr>
      <w:spacing w:before="180"/>
      <w:outlineLvl w:val="1"/>
    </w:pPr>
    <w:rPr>
      <w:sz w:val="32"/>
    </w:rPr>
  </w:style>
  <w:style w:type="paragraph" w:styleId="Heading3">
    <w:name w:val="heading 3"/>
    <w:basedOn w:val="Heading2"/>
    <w:next w:val="Normal"/>
    <w:qFormat/>
    <w:rsid w:val="00E97A77"/>
    <w:pPr>
      <w:spacing w:before="120"/>
      <w:outlineLvl w:val="2"/>
    </w:pPr>
    <w:rPr>
      <w:sz w:val="28"/>
    </w:rPr>
  </w:style>
  <w:style w:type="paragraph" w:styleId="Heading4">
    <w:name w:val="heading 4"/>
    <w:basedOn w:val="Heading3"/>
    <w:next w:val="Normal"/>
    <w:qFormat/>
    <w:rsid w:val="00E97A77"/>
    <w:pPr>
      <w:ind w:left="1418" w:hanging="1418"/>
      <w:outlineLvl w:val="3"/>
    </w:pPr>
    <w:rPr>
      <w:sz w:val="24"/>
    </w:rPr>
  </w:style>
  <w:style w:type="paragraph" w:styleId="Heading5">
    <w:name w:val="heading 5"/>
    <w:basedOn w:val="Heading4"/>
    <w:next w:val="Normal"/>
    <w:qFormat/>
    <w:rsid w:val="00E97A77"/>
    <w:pPr>
      <w:ind w:left="1701" w:hanging="1701"/>
      <w:outlineLvl w:val="4"/>
    </w:pPr>
    <w:rPr>
      <w:sz w:val="22"/>
    </w:rPr>
  </w:style>
  <w:style w:type="paragraph" w:styleId="Heading6">
    <w:name w:val="heading 6"/>
    <w:basedOn w:val="H6"/>
    <w:next w:val="Normal"/>
    <w:qFormat/>
    <w:rsid w:val="00E97A77"/>
    <w:pPr>
      <w:outlineLvl w:val="5"/>
    </w:pPr>
  </w:style>
  <w:style w:type="paragraph" w:styleId="Heading7">
    <w:name w:val="heading 7"/>
    <w:basedOn w:val="H6"/>
    <w:next w:val="Normal"/>
    <w:qFormat/>
    <w:rsid w:val="00E97A77"/>
    <w:pPr>
      <w:outlineLvl w:val="6"/>
    </w:pPr>
  </w:style>
  <w:style w:type="paragraph" w:styleId="Heading8">
    <w:name w:val="heading 8"/>
    <w:basedOn w:val="Heading1"/>
    <w:next w:val="Normal"/>
    <w:qFormat/>
    <w:rsid w:val="00E97A77"/>
    <w:pPr>
      <w:ind w:left="0" w:firstLine="0"/>
      <w:outlineLvl w:val="7"/>
    </w:pPr>
  </w:style>
  <w:style w:type="paragraph" w:styleId="Heading9">
    <w:name w:val="heading 9"/>
    <w:basedOn w:val="Heading8"/>
    <w:next w:val="Normal"/>
    <w:qFormat/>
    <w:rsid w:val="00E97A77"/>
    <w:pPr>
      <w:outlineLvl w:val="8"/>
    </w:pPr>
  </w:style>
  <w:style w:type="character" w:default="1" w:styleId="DefaultParagraphFont">
    <w:name w:val="Default Paragraph Font"/>
    <w:uiPriority w:val="1"/>
    <w:semiHidden/>
    <w:unhideWhenUsed/>
    <w:rsid w:val="00E97A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7A77"/>
  </w:style>
  <w:style w:type="paragraph" w:styleId="TOC8">
    <w:name w:val="toc 8"/>
    <w:basedOn w:val="TOC1"/>
    <w:semiHidden/>
    <w:rsid w:val="00E97A77"/>
    <w:pPr>
      <w:spacing w:before="180"/>
      <w:ind w:left="2693" w:hanging="2693"/>
    </w:pPr>
    <w:rPr>
      <w:b/>
    </w:rPr>
  </w:style>
  <w:style w:type="paragraph" w:styleId="TOC1">
    <w:name w:val="toc 1"/>
    <w:semiHidden/>
    <w:rsid w:val="00E97A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97A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97A77"/>
    <w:pPr>
      <w:ind w:left="1701" w:hanging="1701"/>
    </w:pPr>
  </w:style>
  <w:style w:type="paragraph" w:styleId="TOC4">
    <w:name w:val="toc 4"/>
    <w:basedOn w:val="TOC3"/>
    <w:semiHidden/>
    <w:rsid w:val="00E97A77"/>
    <w:pPr>
      <w:ind w:left="1418" w:hanging="1418"/>
    </w:pPr>
  </w:style>
  <w:style w:type="paragraph" w:styleId="TOC3">
    <w:name w:val="toc 3"/>
    <w:basedOn w:val="TOC2"/>
    <w:semiHidden/>
    <w:rsid w:val="00E97A77"/>
    <w:pPr>
      <w:ind w:left="1134" w:hanging="1134"/>
    </w:pPr>
  </w:style>
  <w:style w:type="paragraph" w:styleId="TOC2">
    <w:name w:val="toc 2"/>
    <w:basedOn w:val="TOC1"/>
    <w:semiHidden/>
    <w:rsid w:val="00E97A77"/>
    <w:pPr>
      <w:keepNext w:val="0"/>
      <w:spacing w:before="0"/>
      <w:ind w:left="851" w:hanging="851"/>
    </w:pPr>
    <w:rPr>
      <w:sz w:val="20"/>
    </w:rPr>
  </w:style>
  <w:style w:type="paragraph" w:styleId="Index2">
    <w:name w:val="index 2"/>
    <w:basedOn w:val="Index1"/>
    <w:semiHidden/>
    <w:rsid w:val="00E97A77"/>
    <w:pPr>
      <w:ind w:left="284"/>
    </w:pPr>
  </w:style>
  <w:style w:type="paragraph" w:styleId="Index1">
    <w:name w:val="index 1"/>
    <w:basedOn w:val="Normal"/>
    <w:semiHidden/>
    <w:rsid w:val="00E97A77"/>
    <w:pPr>
      <w:keepLines/>
      <w:spacing w:after="0"/>
    </w:pPr>
  </w:style>
  <w:style w:type="paragraph" w:customStyle="1" w:styleId="ZH">
    <w:name w:val="ZH"/>
    <w:rsid w:val="00E97A7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97A77"/>
    <w:pPr>
      <w:outlineLvl w:val="9"/>
    </w:pPr>
  </w:style>
  <w:style w:type="paragraph" w:styleId="ListNumber2">
    <w:name w:val="List Number 2"/>
    <w:basedOn w:val="ListNumber"/>
    <w:semiHidden/>
    <w:rsid w:val="00E97A7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97A7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97A77"/>
    <w:rPr>
      <w:b/>
      <w:position w:val="6"/>
      <w:sz w:val="16"/>
    </w:rPr>
  </w:style>
  <w:style w:type="paragraph" w:styleId="FootnoteText">
    <w:name w:val="footnote text"/>
    <w:basedOn w:val="Normal"/>
    <w:semiHidden/>
    <w:rsid w:val="00E97A77"/>
    <w:pPr>
      <w:keepLines/>
      <w:spacing w:after="0"/>
      <w:ind w:left="454" w:hanging="454"/>
    </w:pPr>
    <w:rPr>
      <w:sz w:val="16"/>
    </w:rPr>
  </w:style>
  <w:style w:type="paragraph" w:customStyle="1" w:styleId="TAH">
    <w:name w:val="TAH"/>
    <w:basedOn w:val="TAC"/>
    <w:link w:val="TAHCar"/>
    <w:rsid w:val="00E97A77"/>
    <w:rPr>
      <w:b/>
    </w:rPr>
  </w:style>
  <w:style w:type="paragraph" w:customStyle="1" w:styleId="TAC">
    <w:name w:val="TAC"/>
    <w:basedOn w:val="TAL"/>
    <w:link w:val="TACChar"/>
    <w:rsid w:val="00E97A77"/>
    <w:pPr>
      <w:jc w:val="center"/>
    </w:pPr>
  </w:style>
  <w:style w:type="paragraph" w:customStyle="1" w:styleId="TF">
    <w:name w:val="TF"/>
    <w:basedOn w:val="TH"/>
    <w:rsid w:val="00E97A77"/>
    <w:pPr>
      <w:keepNext w:val="0"/>
      <w:spacing w:before="0" w:after="240"/>
    </w:pPr>
  </w:style>
  <w:style w:type="paragraph" w:customStyle="1" w:styleId="NO">
    <w:name w:val="NO"/>
    <w:basedOn w:val="Normal"/>
    <w:rsid w:val="00E97A77"/>
    <w:pPr>
      <w:keepLines/>
      <w:ind w:left="1135" w:hanging="851"/>
    </w:pPr>
  </w:style>
  <w:style w:type="paragraph" w:styleId="TOC9">
    <w:name w:val="toc 9"/>
    <w:basedOn w:val="TOC8"/>
    <w:semiHidden/>
    <w:rsid w:val="00E97A77"/>
    <w:pPr>
      <w:ind w:left="1418" w:hanging="1418"/>
    </w:pPr>
  </w:style>
  <w:style w:type="paragraph" w:customStyle="1" w:styleId="EX">
    <w:name w:val="EX"/>
    <w:basedOn w:val="Normal"/>
    <w:rsid w:val="00E97A77"/>
    <w:pPr>
      <w:keepLines/>
      <w:ind w:left="1702" w:hanging="1418"/>
    </w:pPr>
  </w:style>
  <w:style w:type="paragraph" w:customStyle="1" w:styleId="FP">
    <w:name w:val="FP"/>
    <w:basedOn w:val="Normal"/>
    <w:rsid w:val="00E97A77"/>
    <w:pPr>
      <w:spacing w:after="0"/>
    </w:pPr>
  </w:style>
  <w:style w:type="paragraph" w:customStyle="1" w:styleId="LD">
    <w:name w:val="LD"/>
    <w:rsid w:val="00E97A7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97A77"/>
    <w:pPr>
      <w:spacing w:after="0"/>
    </w:pPr>
  </w:style>
  <w:style w:type="paragraph" w:customStyle="1" w:styleId="EW">
    <w:name w:val="EW"/>
    <w:basedOn w:val="EX"/>
    <w:rsid w:val="00E97A77"/>
    <w:pPr>
      <w:spacing w:after="0"/>
    </w:pPr>
  </w:style>
  <w:style w:type="paragraph" w:styleId="TOC6">
    <w:name w:val="toc 6"/>
    <w:basedOn w:val="TOC5"/>
    <w:next w:val="Normal"/>
    <w:semiHidden/>
    <w:rsid w:val="00E97A77"/>
    <w:pPr>
      <w:ind w:left="1985" w:hanging="1985"/>
    </w:pPr>
  </w:style>
  <w:style w:type="paragraph" w:styleId="TOC7">
    <w:name w:val="toc 7"/>
    <w:basedOn w:val="TOC6"/>
    <w:next w:val="Normal"/>
    <w:semiHidden/>
    <w:rsid w:val="00E97A77"/>
    <w:pPr>
      <w:ind w:left="2268" w:hanging="2268"/>
    </w:pPr>
  </w:style>
  <w:style w:type="paragraph" w:styleId="ListBullet2">
    <w:name w:val="List Bullet 2"/>
    <w:basedOn w:val="ListBullet"/>
    <w:semiHidden/>
    <w:rsid w:val="00E97A77"/>
    <w:pPr>
      <w:ind w:left="851"/>
    </w:pPr>
  </w:style>
  <w:style w:type="paragraph" w:styleId="ListBullet3">
    <w:name w:val="List Bullet 3"/>
    <w:basedOn w:val="ListBullet2"/>
    <w:semiHidden/>
    <w:rsid w:val="00E97A77"/>
    <w:pPr>
      <w:ind w:left="1135"/>
    </w:pPr>
  </w:style>
  <w:style w:type="paragraph" w:styleId="ListNumber">
    <w:name w:val="List Number"/>
    <w:basedOn w:val="List"/>
    <w:semiHidden/>
    <w:rsid w:val="00E97A77"/>
  </w:style>
  <w:style w:type="paragraph" w:customStyle="1" w:styleId="EQ">
    <w:name w:val="EQ"/>
    <w:basedOn w:val="Normal"/>
    <w:next w:val="Normal"/>
    <w:rsid w:val="00E97A77"/>
    <w:pPr>
      <w:keepLines/>
      <w:tabs>
        <w:tab w:val="center" w:pos="4536"/>
        <w:tab w:val="right" w:pos="9072"/>
      </w:tabs>
    </w:pPr>
    <w:rPr>
      <w:noProof/>
    </w:rPr>
  </w:style>
  <w:style w:type="paragraph" w:customStyle="1" w:styleId="TH">
    <w:name w:val="TH"/>
    <w:basedOn w:val="Normal"/>
    <w:link w:val="THChar"/>
    <w:rsid w:val="00E97A77"/>
    <w:pPr>
      <w:keepNext/>
      <w:keepLines/>
      <w:spacing w:before="60"/>
      <w:jc w:val="center"/>
    </w:pPr>
    <w:rPr>
      <w:rFonts w:ascii="Arial" w:hAnsi="Arial"/>
      <w:b/>
    </w:rPr>
  </w:style>
  <w:style w:type="paragraph" w:customStyle="1" w:styleId="NF">
    <w:name w:val="NF"/>
    <w:basedOn w:val="NO"/>
    <w:rsid w:val="00E97A77"/>
    <w:pPr>
      <w:keepNext/>
      <w:spacing w:after="0"/>
    </w:pPr>
    <w:rPr>
      <w:rFonts w:ascii="Arial" w:hAnsi="Arial"/>
      <w:sz w:val="18"/>
    </w:rPr>
  </w:style>
  <w:style w:type="paragraph" w:customStyle="1" w:styleId="PL">
    <w:name w:val="PL"/>
    <w:rsid w:val="00E97A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97A77"/>
    <w:pPr>
      <w:jc w:val="right"/>
    </w:pPr>
  </w:style>
  <w:style w:type="paragraph" w:customStyle="1" w:styleId="H6">
    <w:name w:val="H6"/>
    <w:basedOn w:val="Heading5"/>
    <w:next w:val="Normal"/>
    <w:rsid w:val="00E97A77"/>
    <w:pPr>
      <w:ind w:left="1985" w:hanging="1985"/>
      <w:outlineLvl w:val="9"/>
    </w:pPr>
    <w:rPr>
      <w:sz w:val="20"/>
    </w:rPr>
  </w:style>
  <w:style w:type="paragraph" w:customStyle="1" w:styleId="TAN">
    <w:name w:val="TAN"/>
    <w:basedOn w:val="TAL"/>
    <w:link w:val="TANChar"/>
    <w:rsid w:val="00E97A77"/>
    <w:pPr>
      <w:ind w:left="851" w:hanging="851"/>
    </w:pPr>
  </w:style>
  <w:style w:type="paragraph" w:customStyle="1" w:styleId="TAL">
    <w:name w:val="TAL"/>
    <w:basedOn w:val="Normal"/>
    <w:rsid w:val="00E97A77"/>
    <w:pPr>
      <w:keepNext/>
      <w:keepLines/>
      <w:spacing w:after="0"/>
    </w:pPr>
    <w:rPr>
      <w:rFonts w:ascii="Arial" w:hAnsi="Arial"/>
      <w:sz w:val="18"/>
    </w:rPr>
  </w:style>
  <w:style w:type="paragraph" w:customStyle="1" w:styleId="ZA">
    <w:name w:val="ZA"/>
    <w:rsid w:val="00E97A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97A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97A7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97A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97A77"/>
    <w:pPr>
      <w:framePr w:wrap="notBeside" w:y="16161"/>
    </w:pPr>
  </w:style>
  <w:style w:type="character" w:customStyle="1" w:styleId="ZGSM">
    <w:name w:val="ZGSM"/>
    <w:rsid w:val="00E97A77"/>
  </w:style>
  <w:style w:type="paragraph" w:styleId="List2">
    <w:name w:val="List 2"/>
    <w:basedOn w:val="List"/>
    <w:semiHidden/>
    <w:rsid w:val="00E97A77"/>
    <w:pPr>
      <w:ind w:left="851"/>
    </w:pPr>
  </w:style>
  <w:style w:type="paragraph" w:customStyle="1" w:styleId="ZG">
    <w:name w:val="ZG"/>
    <w:rsid w:val="00E97A7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E97A77"/>
    <w:pPr>
      <w:ind w:left="1135"/>
    </w:pPr>
  </w:style>
  <w:style w:type="paragraph" w:styleId="List4">
    <w:name w:val="List 4"/>
    <w:basedOn w:val="List3"/>
    <w:semiHidden/>
    <w:rsid w:val="00E97A77"/>
    <w:pPr>
      <w:ind w:left="1418"/>
    </w:pPr>
  </w:style>
  <w:style w:type="paragraph" w:styleId="List5">
    <w:name w:val="List 5"/>
    <w:basedOn w:val="List4"/>
    <w:semiHidden/>
    <w:rsid w:val="00E97A77"/>
    <w:pPr>
      <w:ind w:left="1702"/>
    </w:pPr>
  </w:style>
  <w:style w:type="paragraph" w:customStyle="1" w:styleId="EditorsNote">
    <w:name w:val="Editor's Note"/>
    <w:basedOn w:val="NO"/>
    <w:rsid w:val="00E97A77"/>
    <w:rPr>
      <w:color w:val="FF0000"/>
    </w:rPr>
  </w:style>
  <w:style w:type="paragraph" w:styleId="List">
    <w:name w:val="List"/>
    <w:basedOn w:val="Normal"/>
    <w:semiHidden/>
    <w:rsid w:val="00E97A77"/>
    <w:pPr>
      <w:ind w:left="568" w:hanging="284"/>
    </w:pPr>
  </w:style>
  <w:style w:type="paragraph" w:styleId="ListBullet">
    <w:name w:val="List Bullet"/>
    <w:basedOn w:val="List"/>
    <w:semiHidden/>
    <w:rsid w:val="00E97A77"/>
  </w:style>
  <w:style w:type="paragraph" w:styleId="ListBullet4">
    <w:name w:val="List Bullet 4"/>
    <w:basedOn w:val="ListBullet3"/>
    <w:semiHidden/>
    <w:rsid w:val="00E97A77"/>
    <w:pPr>
      <w:ind w:left="1418"/>
    </w:pPr>
  </w:style>
  <w:style w:type="paragraph" w:styleId="ListBullet5">
    <w:name w:val="List Bullet 5"/>
    <w:basedOn w:val="ListBullet4"/>
    <w:semiHidden/>
    <w:rsid w:val="00E97A77"/>
    <w:pPr>
      <w:ind w:left="1702"/>
    </w:pPr>
  </w:style>
  <w:style w:type="paragraph" w:customStyle="1" w:styleId="B1">
    <w:name w:val="B1"/>
    <w:basedOn w:val="List"/>
    <w:rsid w:val="00E97A77"/>
  </w:style>
  <w:style w:type="paragraph" w:customStyle="1" w:styleId="B2">
    <w:name w:val="B2"/>
    <w:basedOn w:val="List2"/>
    <w:rsid w:val="00E97A77"/>
  </w:style>
  <w:style w:type="paragraph" w:customStyle="1" w:styleId="B3">
    <w:name w:val="B3"/>
    <w:basedOn w:val="List3"/>
    <w:rsid w:val="00E97A77"/>
  </w:style>
  <w:style w:type="paragraph" w:customStyle="1" w:styleId="B4">
    <w:name w:val="B4"/>
    <w:basedOn w:val="List4"/>
    <w:rsid w:val="00E97A77"/>
  </w:style>
  <w:style w:type="paragraph" w:customStyle="1" w:styleId="B5">
    <w:name w:val="B5"/>
    <w:basedOn w:val="List5"/>
    <w:rsid w:val="00E97A77"/>
  </w:style>
  <w:style w:type="paragraph" w:styleId="Footer">
    <w:name w:val="footer"/>
    <w:basedOn w:val="Header"/>
    <w:semiHidden/>
    <w:rsid w:val="00E97A77"/>
    <w:pPr>
      <w:jc w:val="center"/>
    </w:pPr>
    <w:rPr>
      <w:i/>
    </w:rPr>
  </w:style>
  <w:style w:type="paragraph" w:customStyle="1" w:styleId="ZTD">
    <w:name w:val="ZTD"/>
    <w:basedOn w:val="ZB"/>
    <w:rsid w:val="00E97A77"/>
    <w:pPr>
      <w:framePr w:hRule="auto" w:wrap="notBeside" w:y="852"/>
    </w:pPr>
    <w:rPr>
      <w:i w:val="0"/>
      <w:sz w:val="40"/>
    </w:rPr>
  </w:style>
  <w:style w:type="paragraph" w:customStyle="1" w:styleId="CRCoverPage">
    <w:name w:val="CR Cover Page"/>
    <w:link w:val="CRCoverPageChar"/>
    <w:rsid w:val="00E97A77"/>
    <w:pPr>
      <w:spacing w:after="120"/>
    </w:pPr>
    <w:rPr>
      <w:rFonts w:ascii="Arial" w:hAnsi="Arial"/>
      <w:lang w:val="en-GB" w:eastAsia="en-US"/>
    </w:rPr>
  </w:style>
  <w:style w:type="character" w:customStyle="1" w:styleId="Heading1Char">
    <w:name w:val="Heading 1 Char"/>
    <w:link w:val="Heading1"/>
    <w:rsid w:val="00E97A77"/>
    <w:rPr>
      <w:rFonts w:ascii="Arial" w:hAnsi="Arial"/>
      <w:sz w:val="36"/>
      <w:lang w:val="en-GB" w:eastAsia="en-US"/>
    </w:rPr>
  </w:style>
  <w:style w:type="character" w:customStyle="1" w:styleId="CRCoverPageChar">
    <w:name w:val="CR Cover Page Char"/>
    <w:link w:val="CRCoverPage"/>
    <w:locked/>
    <w:rsid w:val="00E97A77"/>
    <w:rPr>
      <w:rFonts w:ascii="Arial" w:hAnsi="Arial"/>
      <w:lang w:val="en-GB" w:eastAsia="en-US"/>
    </w:rPr>
  </w:style>
  <w:style w:type="character" w:styleId="CommentReference">
    <w:name w:val="annotation reference"/>
    <w:basedOn w:val="DefaultParagraphFont"/>
    <w:uiPriority w:val="99"/>
    <w:semiHidden/>
    <w:unhideWhenUsed/>
    <w:rsid w:val="00E97A77"/>
    <w:rPr>
      <w:sz w:val="16"/>
      <w:szCs w:val="16"/>
    </w:rPr>
  </w:style>
  <w:style w:type="paragraph" w:styleId="CommentText">
    <w:name w:val="annotation text"/>
    <w:basedOn w:val="Normal"/>
    <w:link w:val="CommentTextChar"/>
    <w:uiPriority w:val="99"/>
    <w:semiHidden/>
    <w:unhideWhenUsed/>
    <w:rsid w:val="00E97A77"/>
  </w:style>
  <w:style w:type="character" w:customStyle="1" w:styleId="CommentTextChar">
    <w:name w:val="Comment Text Char"/>
    <w:basedOn w:val="DefaultParagraphFont"/>
    <w:link w:val="CommentText"/>
    <w:uiPriority w:val="99"/>
    <w:semiHidden/>
    <w:rsid w:val="00E97A7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E97A77"/>
    <w:rPr>
      <w:b/>
      <w:bCs/>
    </w:rPr>
  </w:style>
  <w:style w:type="character" w:customStyle="1" w:styleId="CommentSubjectChar">
    <w:name w:val="Comment Subject Char"/>
    <w:basedOn w:val="CommentTextChar"/>
    <w:link w:val="CommentSubject"/>
    <w:uiPriority w:val="99"/>
    <w:semiHidden/>
    <w:rsid w:val="00E97A77"/>
    <w:rPr>
      <w:rFonts w:ascii="Times New Roman" w:hAnsi="Times New Roman"/>
      <w:b/>
      <w:bCs/>
      <w:lang w:val="en-GB" w:eastAsia="en-US"/>
    </w:rPr>
  </w:style>
  <w:style w:type="paragraph" w:styleId="BalloonText">
    <w:name w:val="Balloon Text"/>
    <w:basedOn w:val="Normal"/>
    <w:link w:val="BalloonTextChar"/>
    <w:uiPriority w:val="99"/>
    <w:semiHidden/>
    <w:unhideWhenUsed/>
    <w:rsid w:val="00E97A7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7A77"/>
    <w:rPr>
      <w:rFonts w:ascii="Segoe UI" w:hAnsi="Segoe UI" w:cs="Segoe UI"/>
      <w:sz w:val="18"/>
      <w:szCs w:val="18"/>
      <w:lang w:val="en-GB" w:eastAsia="en-US"/>
    </w:rPr>
  </w:style>
  <w:style w:type="character" w:customStyle="1" w:styleId="TACChar">
    <w:name w:val="TAC Char"/>
    <w:link w:val="TAC"/>
    <w:qFormat/>
    <w:rsid w:val="00E97A77"/>
    <w:rPr>
      <w:rFonts w:ascii="Arial" w:hAnsi="Arial"/>
      <w:sz w:val="18"/>
      <w:lang w:val="en-GB" w:eastAsia="en-US"/>
    </w:rPr>
  </w:style>
  <w:style w:type="character" w:customStyle="1" w:styleId="TAHCar">
    <w:name w:val="TAH Car"/>
    <w:link w:val="TAH"/>
    <w:qFormat/>
    <w:rsid w:val="00E97A77"/>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E97A77"/>
    <w:rPr>
      <w:rFonts w:ascii="Arial" w:hAnsi="Arial"/>
      <w:b/>
      <w:noProof/>
      <w:sz w:val="18"/>
      <w:lang w:val="en-US" w:eastAsia="en-US"/>
    </w:rPr>
  </w:style>
  <w:style w:type="paragraph" w:styleId="Caption">
    <w:name w:val="caption"/>
    <w:basedOn w:val="Normal"/>
    <w:next w:val="Normal"/>
    <w:uiPriority w:val="35"/>
    <w:unhideWhenUsed/>
    <w:qFormat/>
    <w:rsid w:val="00E97A77"/>
    <w:pPr>
      <w:spacing w:after="200"/>
    </w:pPr>
    <w:rPr>
      <w:i/>
      <w:iCs/>
      <w:color w:val="44546A" w:themeColor="text2"/>
      <w:sz w:val="18"/>
      <w:szCs w:val="18"/>
    </w:rPr>
  </w:style>
  <w:style w:type="paragraph" w:styleId="ListParagraph">
    <w:name w:val="List Paragraph"/>
    <w:basedOn w:val="Normal"/>
    <w:uiPriority w:val="34"/>
    <w:qFormat/>
    <w:rsid w:val="00E97A77"/>
    <w:pPr>
      <w:ind w:left="720"/>
      <w:contextualSpacing/>
    </w:pPr>
  </w:style>
  <w:style w:type="paragraph" w:customStyle="1" w:styleId="a">
    <w:name w:val="样式 页眉"/>
    <w:basedOn w:val="Header"/>
    <w:link w:val="Char"/>
    <w:rsid w:val="00E97A77"/>
    <w:rPr>
      <w:rFonts w:eastAsia="Arial"/>
      <w:bCs/>
      <w:sz w:val="22"/>
      <w:lang w:val="en-GB"/>
    </w:rPr>
  </w:style>
  <w:style w:type="character" w:customStyle="1" w:styleId="Char">
    <w:name w:val="样式 页眉 Char"/>
    <w:link w:val="a"/>
    <w:rsid w:val="00E97A77"/>
    <w:rPr>
      <w:rFonts w:ascii="Arial" w:eastAsia="Arial" w:hAnsi="Arial"/>
      <w:b/>
      <w:bCs/>
      <w:noProof/>
      <w:sz w:val="22"/>
      <w:lang w:val="en-GB" w:eastAsia="en-US"/>
    </w:rPr>
  </w:style>
  <w:style w:type="character" w:customStyle="1" w:styleId="THChar">
    <w:name w:val="TH Char"/>
    <w:link w:val="TH"/>
    <w:rsid w:val="00E97A77"/>
    <w:rPr>
      <w:rFonts w:ascii="Arial" w:hAnsi="Arial"/>
      <w:b/>
      <w:lang w:val="en-GB" w:eastAsia="en-US"/>
    </w:rPr>
  </w:style>
  <w:style w:type="character" w:customStyle="1" w:styleId="TANChar">
    <w:name w:val="TAN Char"/>
    <w:link w:val="TAN"/>
    <w:rsid w:val="00E97A77"/>
    <w:rPr>
      <w:rFonts w:ascii="Arial" w:hAnsi="Arial"/>
      <w:sz w:val="18"/>
      <w:lang w:val="en-GB" w:eastAsia="en-US"/>
    </w:rPr>
  </w:style>
  <w:style w:type="character" w:styleId="PlaceholderText">
    <w:name w:val="Placeholder Text"/>
    <w:basedOn w:val="DefaultParagraphFont"/>
    <w:uiPriority w:val="99"/>
    <w:semiHidden/>
    <w:rsid w:val="00E97A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35096947">
      <w:bodyDiv w:val="1"/>
      <w:marLeft w:val="0"/>
      <w:marRight w:val="0"/>
      <w:marTop w:val="0"/>
      <w:marBottom w:val="0"/>
      <w:divBdr>
        <w:top w:val="none" w:sz="0" w:space="0" w:color="auto"/>
        <w:left w:val="none" w:sz="0" w:space="0" w:color="auto"/>
        <w:bottom w:val="none" w:sz="0" w:space="0" w:color="auto"/>
        <w:right w:val="none" w:sz="0" w:space="0" w:color="auto"/>
      </w:divBdr>
      <w:divsChild>
        <w:div w:id="550263668">
          <w:marLeft w:val="0"/>
          <w:marRight w:val="0"/>
          <w:marTop w:val="0"/>
          <w:marBottom w:val="0"/>
          <w:divBdr>
            <w:top w:val="none" w:sz="0" w:space="0" w:color="auto"/>
            <w:left w:val="none" w:sz="0" w:space="0" w:color="auto"/>
            <w:bottom w:val="none" w:sz="0" w:space="0" w:color="auto"/>
            <w:right w:val="none" w:sz="0" w:space="0" w:color="auto"/>
          </w:divBdr>
        </w:div>
      </w:divsChild>
    </w:div>
    <w:div w:id="728648525">
      <w:bodyDiv w:val="1"/>
      <w:marLeft w:val="0"/>
      <w:marRight w:val="0"/>
      <w:marTop w:val="0"/>
      <w:marBottom w:val="0"/>
      <w:divBdr>
        <w:top w:val="none" w:sz="0" w:space="0" w:color="auto"/>
        <w:left w:val="none" w:sz="0" w:space="0" w:color="auto"/>
        <w:bottom w:val="none" w:sz="0" w:space="0" w:color="auto"/>
        <w:right w:val="none" w:sz="0" w:space="0" w:color="auto"/>
      </w:divBdr>
    </w:div>
    <w:div w:id="902522586">
      <w:bodyDiv w:val="1"/>
      <w:marLeft w:val="0"/>
      <w:marRight w:val="0"/>
      <w:marTop w:val="0"/>
      <w:marBottom w:val="0"/>
      <w:divBdr>
        <w:top w:val="none" w:sz="0" w:space="0" w:color="auto"/>
        <w:left w:val="none" w:sz="0" w:space="0" w:color="auto"/>
        <w:bottom w:val="none" w:sz="0" w:space="0" w:color="auto"/>
        <w:right w:val="none" w:sz="0" w:space="0" w:color="auto"/>
      </w:divBdr>
    </w:div>
    <w:div w:id="1106343531">
      <w:bodyDiv w:val="1"/>
      <w:marLeft w:val="0"/>
      <w:marRight w:val="0"/>
      <w:marTop w:val="0"/>
      <w:marBottom w:val="0"/>
      <w:divBdr>
        <w:top w:val="none" w:sz="0" w:space="0" w:color="auto"/>
        <w:left w:val="none" w:sz="0" w:space="0" w:color="auto"/>
        <w:bottom w:val="none" w:sz="0" w:space="0" w:color="auto"/>
        <w:right w:val="none" w:sz="0" w:space="0" w:color="auto"/>
      </w:divBdr>
      <w:divsChild>
        <w:div w:id="697967735">
          <w:marLeft w:val="1080"/>
          <w:marRight w:val="0"/>
          <w:marTop w:val="100"/>
          <w:marBottom w:val="0"/>
          <w:divBdr>
            <w:top w:val="none" w:sz="0" w:space="0" w:color="auto"/>
            <w:left w:val="none" w:sz="0" w:space="0" w:color="auto"/>
            <w:bottom w:val="none" w:sz="0" w:space="0" w:color="auto"/>
            <w:right w:val="none" w:sz="0" w:space="0" w:color="auto"/>
          </w:divBdr>
        </w:div>
        <w:div w:id="2075885218">
          <w:marLeft w:val="1080"/>
          <w:marRight w:val="0"/>
          <w:marTop w:val="100"/>
          <w:marBottom w:val="0"/>
          <w:divBdr>
            <w:top w:val="none" w:sz="0" w:space="0" w:color="auto"/>
            <w:left w:val="none" w:sz="0" w:space="0" w:color="auto"/>
            <w:bottom w:val="none" w:sz="0" w:space="0" w:color="auto"/>
            <w:right w:val="none" w:sz="0" w:space="0" w:color="auto"/>
          </w:divBdr>
        </w:div>
      </w:divsChild>
    </w:div>
    <w:div w:id="1572808314">
      <w:bodyDiv w:val="1"/>
      <w:marLeft w:val="0"/>
      <w:marRight w:val="0"/>
      <w:marTop w:val="0"/>
      <w:marBottom w:val="0"/>
      <w:divBdr>
        <w:top w:val="none" w:sz="0" w:space="0" w:color="auto"/>
        <w:left w:val="none" w:sz="0" w:space="0" w:color="auto"/>
        <w:bottom w:val="none" w:sz="0" w:space="0" w:color="auto"/>
        <w:right w:val="none" w:sz="0" w:space="0" w:color="auto"/>
      </w:divBdr>
      <w:divsChild>
        <w:div w:id="1552307312">
          <w:marLeft w:val="0"/>
          <w:marRight w:val="0"/>
          <w:marTop w:val="0"/>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72676994">
      <w:bodyDiv w:val="1"/>
      <w:marLeft w:val="0"/>
      <w:marRight w:val="0"/>
      <w:marTop w:val="0"/>
      <w:marBottom w:val="0"/>
      <w:divBdr>
        <w:top w:val="none" w:sz="0" w:space="0" w:color="auto"/>
        <w:left w:val="none" w:sz="0" w:space="0" w:color="auto"/>
        <w:bottom w:val="none" w:sz="0" w:space="0" w:color="auto"/>
        <w:right w:val="none" w:sz="0" w:space="0" w:color="auto"/>
      </w:divBdr>
      <w:divsChild>
        <w:div w:id="276959172">
          <w:marLeft w:val="0"/>
          <w:marRight w:val="0"/>
          <w:marTop w:val="0"/>
          <w:marBottom w:val="0"/>
          <w:divBdr>
            <w:top w:val="none" w:sz="0" w:space="0" w:color="auto"/>
            <w:left w:val="none" w:sz="0" w:space="0" w:color="auto"/>
            <w:bottom w:val="none" w:sz="0" w:space="0" w:color="auto"/>
            <w:right w:val="none" w:sz="0" w:space="0" w:color="auto"/>
          </w:divBdr>
        </w:div>
      </w:divsChild>
    </w:div>
    <w:div w:id="1943611634">
      <w:bodyDiv w:val="1"/>
      <w:marLeft w:val="0"/>
      <w:marRight w:val="0"/>
      <w:marTop w:val="0"/>
      <w:marBottom w:val="0"/>
      <w:divBdr>
        <w:top w:val="none" w:sz="0" w:space="0" w:color="auto"/>
        <w:left w:val="none" w:sz="0" w:space="0" w:color="auto"/>
        <w:bottom w:val="none" w:sz="0" w:space="0" w:color="auto"/>
        <w:right w:val="none" w:sz="0" w:space="0" w:color="auto"/>
      </w:divBdr>
      <w:divsChild>
        <w:div w:id="267275139">
          <w:marLeft w:val="1800"/>
          <w:marRight w:val="0"/>
          <w:marTop w:val="100"/>
          <w:marBottom w:val="0"/>
          <w:divBdr>
            <w:top w:val="none" w:sz="0" w:space="0" w:color="auto"/>
            <w:left w:val="none" w:sz="0" w:space="0" w:color="auto"/>
            <w:bottom w:val="none" w:sz="0" w:space="0" w:color="auto"/>
            <w:right w:val="none" w:sz="0" w:space="0" w:color="auto"/>
          </w:divBdr>
        </w:div>
        <w:div w:id="498036511">
          <w:marLeft w:val="1800"/>
          <w:marRight w:val="0"/>
          <w:marTop w:val="100"/>
          <w:marBottom w:val="0"/>
          <w:divBdr>
            <w:top w:val="none" w:sz="0" w:space="0" w:color="auto"/>
            <w:left w:val="none" w:sz="0" w:space="0" w:color="auto"/>
            <w:bottom w:val="none" w:sz="0" w:space="0" w:color="auto"/>
            <w:right w:val="none" w:sz="0" w:space="0" w:color="auto"/>
          </w:divBdr>
        </w:div>
        <w:div w:id="869074006">
          <w:marLeft w:val="1080"/>
          <w:marRight w:val="0"/>
          <w:marTop w:val="100"/>
          <w:marBottom w:val="0"/>
          <w:divBdr>
            <w:top w:val="none" w:sz="0" w:space="0" w:color="auto"/>
            <w:left w:val="none" w:sz="0" w:space="0" w:color="auto"/>
            <w:bottom w:val="none" w:sz="0" w:space="0" w:color="auto"/>
            <w:right w:val="none" w:sz="0" w:space="0" w:color="auto"/>
          </w:divBdr>
        </w:div>
        <w:div w:id="991637970">
          <w:marLeft w:val="1080"/>
          <w:marRight w:val="0"/>
          <w:marTop w:val="100"/>
          <w:marBottom w:val="0"/>
          <w:divBdr>
            <w:top w:val="none" w:sz="0" w:space="0" w:color="auto"/>
            <w:left w:val="none" w:sz="0" w:space="0" w:color="auto"/>
            <w:bottom w:val="none" w:sz="0" w:space="0" w:color="auto"/>
            <w:right w:val="none" w:sz="0" w:space="0" w:color="auto"/>
          </w:divBdr>
        </w:div>
        <w:div w:id="1271743339">
          <w:marLeft w:val="1080"/>
          <w:marRight w:val="0"/>
          <w:marTop w:val="100"/>
          <w:marBottom w:val="0"/>
          <w:divBdr>
            <w:top w:val="none" w:sz="0" w:space="0" w:color="auto"/>
            <w:left w:val="none" w:sz="0" w:space="0" w:color="auto"/>
            <w:bottom w:val="none" w:sz="0" w:space="0" w:color="auto"/>
            <w:right w:val="none" w:sz="0" w:space="0" w:color="auto"/>
          </w:divBdr>
        </w:div>
        <w:div w:id="1435131275">
          <w:marLeft w:val="1800"/>
          <w:marRight w:val="0"/>
          <w:marTop w:val="100"/>
          <w:marBottom w:val="0"/>
          <w:divBdr>
            <w:top w:val="none" w:sz="0" w:space="0" w:color="auto"/>
            <w:left w:val="none" w:sz="0" w:space="0" w:color="auto"/>
            <w:bottom w:val="none" w:sz="0" w:space="0" w:color="auto"/>
            <w:right w:val="none" w:sz="0" w:space="0" w:color="auto"/>
          </w:divBdr>
        </w:div>
        <w:div w:id="2006588297">
          <w:marLeft w:val="360"/>
          <w:marRight w:val="0"/>
          <w:marTop w:val="200"/>
          <w:marBottom w:val="0"/>
          <w:divBdr>
            <w:top w:val="none" w:sz="0" w:space="0" w:color="auto"/>
            <w:left w:val="none" w:sz="0" w:space="0" w:color="auto"/>
            <w:bottom w:val="none" w:sz="0" w:space="0" w:color="auto"/>
            <w:right w:val="none" w:sz="0" w:space="0" w:color="auto"/>
          </w:divBdr>
        </w:div>
      </w:divsChild>
    </w:div>
    <w:div w:id="198353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lehtine\Documents\RFSIM\RFSIM-TODO\R4-xxxxxxx%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340B2-06BD-4524-90CA-FE06C8ACE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R4-xxxxxxx template.dotx</Template>
  <TotalTime>460</TotalTime>
  <Pages>3</Pages>
  <Words>796</Words>
  <Characters>4539</Characters>
  <Application>Microsoft Office Word</Application>
  <DocSecurity>0</DocSecurity>
  <Lines>37</Lines>
  <Paragraphs>10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Vesa Lehtinen</dc:creator>
  <cp:keywords>ESA, style sheet, Winword</cp:keywords>
  <dc:description/>
  <cp:lastModifiedBy>Vesa Lehtinen</cp:lastModifiedBy>
  <cp:revision>130</cp:revision>
  <cp:lastPrinted>1899-12-31T22:00:00Z</cp:lastPrinted>
  <dcterms:created xsi:type="dcterms:W3CDTF">2020-05-14T11:45:00Z</dcterms:created>
  <dcterms:modified xsi:type="dcterms:W3CDTF">2020-05-15T20:13:00Z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2019-10-03T12:31:28.7743171Z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ActionId">
    <vt:lpwstr>d809f080-1321-4497-ba97-8442f929ec8f</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